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 w:name="Xf1ad3ea47ff5f7db26066989b13a7224738bfe0"/>
    <w:p>
      <w:pPr>
        <w:pStyle w:val="Title"/>
        <w:spacing w:before="0" w:after="160"/>
        <w:jc w:val="center"/>
        <w:keepNext/>
        <w:keepLines/>
        <w:widowControl w:val="1"/>
      </w:pPr>
      <w:r>
        <w:t xml:space="preserve">SynSmith: Adversarial Multi-Critic Prompt Debugging for Synthetic Data Generation</w:t>
      </w:r>
    </w:p>
    <w:tbl>
      <w:tblPr>
        <w:tblW w:type="pct" w:w="5000"/>
        <w:tblLook w:firstColumn="1" w:firstRow="1" w:lastColumn="0" w:lastRow="0" w:noHBand="0" w:noVBand="1" w:val="04A0"/>
        <w:jc w:val="center"/>
        <w:tblBorders>
          <w:top w:val="nil"/>
          <w:left w:val="nil"/>
          <w:bottom w:val="nil"/>
          <w:right w:val="nil"/>
          <w:insideH w:val="nil"/>
          <w:insideV w:val="nil"/>
        </w:tblBorders>
        <w:tblLayout w:type="autofit"/>
      </w:tblPr>
      <w:tblGrid>
        <w:gridCol w:w="9360"/>
      </w:tblGrid>
      <w:tr>
        <w:tc>
          <w:tcPr>
            <w:tcW w:type="dxa" w:w="9360"/>
            <w:tcBorders>
              <w:left w:val="nil"/>
              <w:right w:val="nil"/>
              <w:top w:val="nil"/>
              <w:bottom w:val="nil"/>
            </w:tcBorders>
          </w:tcPr>
          <w:p>
            <w:pPr>
              <w:spacing w:before="0" w:after="40" w:line="240" w:lineRule="auto"/>
              <w:jc w:val="center"/>
            </w:pPr>
            <w:r/>
            <w:r>
              <w:rPr>
                <w:rFonts w:ascii="Georgia" w:hAnsi="Georgia"/>
                <w:b/>
                <w:i w:val="0"/>
                <w:sz w:val="22"/>
              </w:rPr>
              <w:t>Alexander Apartsin1   Yehudit Aperstein2</w:t>
            </w:r>
          </w:p>
        </w:tc>
      </w:tr>
      <w:tr>
        <w:tc>
          <w:tcPr>
            <w:tcW w:type="dxa" w:w="9360"/>
            <w:tcBorders>
              <w:left w:val="nil"/>
              <w:right w:val="nil"/>
              <w:top w:val="nil"/>
              <w:bottom w:val="nil"/>
            </w:tcBorders>
          </w:tcPr>
          <w:p>
            <w:pPr>
              <w:spacing w:before="0" w:after="120" w:line="240" w:lineRule="auto"/>
              <w:jc w:val="center"/>
            </w:pPr>
            <w:r/>
            <w:r>
              <w:rPr>
                <w:rFonts w:ascii="Georgia" w:hAnsi="Georgia"/>
                <w:b w:val="0"/>
                <w:i/>
                <w:sz w:val="19"/>
              </w:rPr>
              <w:t>1Holon Institute of Technology, Israel   2Afeka College of Engineering, Israel</w:t>
            </w:r>
          </w:p>
        </w:tc>
      </w:tr>
    </w:tbl>
    <w:bookmarkEnd w:id="9"/>
    <w:bookmarkStart w:id="11" w:name="abstract"/>
    <w:p>
      <w:pPr>
        <w:pStyle w:val="AbstractLabel"/>
        <w:jc w:val="center"/>
        <w:keepNext/>
        <w:keepLines/>
        <w:widowControl w:val="1"/>
      </w:pPr>
      <w:r>
        <w:t xml:space="preserve">Abstract</w:t>
      </w:r>
    </w:p>
    <w:p>
      <w:pPr>
        <w:pStyle w:val="FirstParagraph"/>
        <w:ind w:left="432" w:right="432" w:firstLine="0"/>
        <w:jc w:val="both"/>
        <w:keepNext w:val="0"/>
        <w:keepLines w:val="0"/>
        <w:widowControl w:val="1"/>
      </w:pPr>
      <w:r>
        <w:t xml:space="preserve">Large language models are increasingly used to generate labeled training data when real labels are scarce, but the synthesis suffers from three pathologies: attribute infidelity (generated text does not match the requested label), over-polished realism (samples are detectably synthetic), and shallow diversity (samples paraphrase a small set of templates). We present</w:t>
      </w:r>
      <w:r>
        <w:t xml:space="preserve"> </w:t>
      </w:r>
      <w:r>
        <w:rPr>
          <w:b/>
          <w:bCs/>
        </w:rPr>
        <w:t xml:space="preserve">SynSmith</w:t>
      </w:r>
      <w:r>
        <w:t xml:space="preserve">, a seven-critic prompt-rewriting loop combining three baseline critics (attribute verifier, realism discriminator, diversity auditor) with four GAN-inspired mode-collapse adversaries (a Pack Discriminator, a Mode-Seeking ratio, a Mode Hunter with persistent banned-phrasings memory, and a density-ratio Coverage Hole Finder). Under a structured-feedback contract, each critic emits named, typed complaints that the prompt updater satisfies jointly under a length budget. Synth-only training on SynSmith's batch reaches</w:t>
      </w:r>
      <w:r>
        <w:t xml:space="preserve"> </w:t>
      </w:r>
      <m:oMath>
        <m:d>
          <m:dPr>
            <m:begChr m:val="["/>
            <m:sepChr m:val=""/>
            <m:endChr m:val="]"/>
            <m:grow/>
          </m:dPr>
          <m:e>
            <m:r>
              <m:t>0.91</m:t>
            </m:r>
            <m:r>
              <m:rPr>
                <m:sty m:val="p"/>
              </m:rPr>
              <m:t>,</m:t>
            </m:r>
            <m:r>
              <m:t>1.07</m:t>
            </m:r>
          </m:e>
        </m:d>
      </m:oMath>
      <w:r>
        <w:t xml:space="preserve"> </w:t>
      </w:r>
      <w:r>
        <w:t xml:space="preserve">of real-only macro F1 across three benchmarks (SST-2, Banking77, TREC) at</w:t>
      </w:r>
      <w:r>
        <w:t xml:space="preserve"> </w:t>
      </w:r>
      <m:oMath>
        <m:r>
          <m:t>10</m:t>
        </m:r>
      </m:oMath>
      <w:r>
        <w:t xml:space="preserve"> </w:t>
      </w:r>
      <w:r>
        <w:t xml:space="preserve">to</w:t>
      </w:r>
      <w:r>
        <w:t xml:space="preserve"> </w:t>
      </w:r>
      <m:oMath>
        <m:r>
          <m:t>30</m:t>
        </m:r>
      </m:oMath>
      <w:r>
        <w:t xml:space="preserve"> </w:t>
      </w:r>
      <w:r>
        <w:t xml:space="preserve">real-train examples per class, where</w:t>
      </w:r>
      <w:r>
        <w:t xml:space="preserve"> </w:t>
      </w:r>
      <m:oMath>
        <m:r>
          <m:t>1.0</m:t>
        </m:r>
      </m:oMath>
      <w:r>
        <w:t xml:space="preserve"> </w:t>
      </w:r>
      <w:r>
        <w:t xml:space="preserve">matches real-only and the bracket is the</w:t>
      </w:r>
      <w:r>
        <w:t xml:space="preserve"> </w:t>
      </w:r>
      <m:oMath>
        <m:r>
          <m:t>95</m:t>
        </m:r>
        <m:r>
          <m:rPr>
            <m:sty m:val="p"/>
          </m:rPr>
          <m:t>%</m:t>
        </m:r>
      </m:oMath>
      <w:r>
        <w:t xml:space="preserve"> </w:t>
      </w:r>
      <w:r>
        <w:t xml:space="preserve">confidence interval over five seeds (Figure 2, Table 4). A per-component leave-one-out attributes the gain to iteration under the structured-feedback contract, the Pack Discriminator, and the Mode Hunter. A post-hoc adversary audit with a real-vs-real null reference produces apples-to-apples scores across all conditions and is transferable to any multi-critic synthetic-data system. A reference implementation is available at</w:t>
      </w:r>
      <w:r>
        <w:t xml:space="preserve"> </w:t>
      </w:r>
      <w:hyperlink r:id="rId10">
        <w:r>
          <w:rPr>
            <w:rStyle w:val="Hyperlink"/>
          </w:rPr>
          <w:t xml:space="preserve">github.com/ApartsinProjects/SynSmith</w:t>
        </w:r>
      </w:hyperlink>
      <w:r>
        <w:t xml:space="preserve">.</w:t>
      </w:r>
    </w:p>
    <w:p>
      <w:pPr>
        <w:spacing w:before="0" w:after="0" w:line="760" w:lineRule="exact"/>
        <w:rPr>
          <w:sz w:val="2"/>
          <w:szCs w:val="2"/>
        </w:rPr>
      </w:pPr>
    </w:p>
    <w:p>
      <w:pPr>
        <w:spacing w:before="0" w:after="0" w:line="20" w:lineRule="exact"/>
        <w:rPr>
          <w:sz w:val="2"/>
          <w:szCs w:val="2"/>
        </w:rPr>
        <w:sectPr w:rsidR="00FC693F" w:rsidRPr="0006063C" w:rsidSect="00034616">
          <w:footerReference w:type="default" r:id="rId9"/>
          <w:type w:val="continuous"/>
          <w:pgSz w:h="15840" w:w="12240"/>
          <w:pgMar w:bottom="1080" w:footer="720" w:gutter="0" w:header="720" w:left="1080" w:right="1080" w:top="1080"/>
          <w:cols w:num="1" w:space="288"/>
          <w:docGrid w:linePitch="360"/>
        </w:sectPr>
      </w:pPr>
    </w:p>
    <w:bookmarkEnd w:id="11"/>
    <w:bookmarkStart w:id="12" w:name="sec-introduction"/>
    <w:p>
      <w:pPr>
        <w:pStyle w:val="Heading2"/>
        <w:keepNext/>
        <w:keepLines/>
        <w:widowControl w:val="1"/>
      </w:pPr>
      <w:r>
        <w:t xml:space="preserve">1</w:t>
      </w:r>
      <w:r>
        <w:t xml:space="preserve"> </w:t>
      </w:r>
      <w:r>
        <w:t xml:space="preserve">Introduction</w:t>
      </w:r>
    </w:p>
    <w:p>
      <w:pPr>
        <w:pStyle w:val="FirstParagraph"/>
        <w:jc w:val="both"/>
        <w:keepNext w:val="0"/>
        <w:keepLines w:val="0"/>
        <w:widowControl w:val="1"/>
      </w:pPr>
      <w:r>
        <w:t xml:space="preserve">Large language models are widely used to generate labeled training data when real data is scarce. Naive prompting produces three intertwined pathologies:</w:t>
      </w:r>
      <w:r>
        <w:t xml:space="preserve"> </w:t>
      </w:r>
      <w:r>
        <w:rPr>
          <w:i/>
          <w:iCs/>
        </w:rPr>
        <w:t xml:space="preserve">attribute infidelity</w:t>
      </w:r>
      <w:r>
        <w:t xml:space="preserve"> </w:t>
      </w:r>
      <w:r>
        <w:t xml:space="preserve">(the text does not reflect the requested labels),</w:t>
      </w:r>
      <w:r>
        <w:t xml:space="preserve"> </w:t>
      </w:r>
      <w:r>
        <w:rPr>
          <w:i/>
          <w:iCs/>
        </w:rPr>
        <w:t xml:space="preserve">over-polished realism</w:t>
      </w:r>
      <w:r>
        <w:t xml:space="preserve"> </w:t>
      </w:r>
      <w:r>
        <w:t xml:space="preserve">(samples are detectably synthetic), and</w:t>
      </w:r>
      <w:r>
        <w:t xml:space="preserve"> </w:t>
      </w:r>
      <w:r>
        <w:rPr>
          <w:i/>
          <w:iCs/>
        </w:rPr>
        <w:t xml:space="preserve">shallow diversity</w:t>
      </w:r>
      <w:r>
        <w:t xml:space="preserve"> </w:t>
      </w:r>
      <w:r>
        <w:t xml:space="preserve">(samples are paraphrases of a small set of templates). A common response is to add critics: an attribute verifier, a realism discriminator, and a diversity auditor. The literature on automatic prompt optimization with LLM judges</w:t>
      </w:r>
      <w:r>
        <w:t xml:space="preserve"> </w:t>
      </w:r>
      <w:hyperlink w:anchor="ref-ape">
        <w:r>
          <w:rPr>
            <w:rStyle w:val="Hyperlink"/>
          </w:rPr>
          <w:t xml:space="preserve">[14]</w:t>
        </w:r>
      </w:hyperlink>
      <w:hyperlink w:anchor="ref-opro">
        <w:r>
          <w:rPr>
            <w:rStyle w:val="Hyperlink"/>
          </w:rPr>
          <w:t xml:space="preserve">[15]</w:t>
        </w:r>
      </w:hyperlink>
      <w:hyperlink w:anchor="ref-evoprompt">
        <w:r>
          <w:rPr>
            <w:rStyle w:val="Hyperlink"/>
          </w:rPr>
          <w:t xml:space="preserve">[16]</w:t>
        </w:r>
      </w:hyperlink>
      <w:hyperlink w:anchor="ref-promptbreeder">
        <w:r>
          <w:rPr>
            <w:rStyle w:val="Hyperlink"/>
          </w:rPr>
          <w:t xml:space="preserve">[17]</w:t>
        </w:r>
      </w:hyperlink>
      <w:hyperlink w:anchor="ref-dspy">
        <w:r>
          <w:rPr>
            <w:rStyle w:val="Hyperlink"/>
          </w:rPr>
          <w:t xml:space="preserve">[18]</w:t>
        </w:r>
      </w:hyperlink>
      <w:hyperlink w:anchor="ref-textgrad">
        <w:r>
          <w:rPr>
            <w:rStyle w:val="Hyperlink"/>
          </w:rPr>
          <w:t xml:space="preserve">[19]</w:t>
        </w:r>
      </w:hyperlink>
      <w:hyperlink w:anchor="ref-gepa">
        <w:r>
          <w:rPr>
            <w:rStyle w:val="Hyperlink"/>
          </w:rPr>
          <w:t xml:space="preserve">[25]</w:t>
        </w:r>
      </w:hyperlink>
      <w:r>
        <w:t xml:space="preserve"> </w:t>
      </w:r>
      <w:r>
        <w:t xml:space="preserve">reads as a steady accumulation: more critics, more rewriting capacity, better data. We ask whether that accumulation actually improves downstream utility, and how the field would tell.</w:t>
      </w:r>
    </w:p>
    <w:p>
      <w:pPr>
        <w:pStyle w:val="BodyText"/>
        <w:jc w:val="both"/>
        <w:keepNext w:val="0"/>
        <w:keepLines w:val="0"/>
        <w:widowControl w:val="1"/>
      </w:pPr>
      <w:r>
        <w:t xml:space="preserve">Our angle is structural. The GAN literature spent a decade naming the same three pathologies in image generators, and the defenses transferred include PacGAN</w:t>
      </w:r>
      <w:r>
        <w:t xml:space="preserve"> </w:t>
      </w:r>
      <w:hyperlink w:anchor="ref-pacgan">
        <w:r>
          <w:rPr>
            <w:rStyle w:val="Hyperlink"/>
          </w:rPr>
          <w:t xml:space="preserve">[1]</w:t>
        </w:r>
      </w:hyperlink>
      <w:r>
        <w:t xml:space="preserve"> </w:t>
      </w:r>
      <w:r>
        <w:t xml:space="preserve">for in-batch mode collapse, MSGAN</w:t>
      </w:r>
      <w:r>
        <w:t xml:space="preserve"> </w:t>
      </w:r>
      <w:hyperlink w:anchor="ref-msgan">
        <w:r>
          <w:rPr>
            <w:rStyle w:val="Hyperlink"/>
          </w:rPr>
          <w:t xml:space="preserve">[3]</w:t>
        </w:r>
      </w:hyperlink>
      <w:r>
        <w:t xml:space="preserve"> </w:t>
      </w:r>
      <w:r>
        <w:t xml:space="preserve">for mode-seeking variance, minibatch features</w:t>
      </w:r>
      <w:r>
        <w:t xml:space="preserve"> </w:t>
      </w:r>
      <w:hyperlink w:anchor="ref-salimans">
        <w:r>
          <w:rPr>
            <w:rStyle w:val="Hyperlink"/>
          </w:rPr>
          <w:t xml:space="preserve">[2]</w:t>
        </w:r>
      </w:hyperlink>
      <w:r>
        <w:t xml:space="preserve">, unrolled GANs</w:t>
      </w:r>
      <w:r>
        <w:t xml:space="preserve"> </w:t>
      </w:r>
      <w:hyperlink w:anchor="ref-unrolled">
        <w:r>
          <w:rPr>
            <w:rStyle w:val="Hyperlink"/>
          </w:rPr>
          <w:t xml:space="preserve">[7]</w:t>
        </w:r>
      </w:hyperlink>
      <w:r>
        <w:t xml:space="preserve">, WGAN</w:t>
      </w:r>
      <w:r>
        <w:t xml:space="preserve"> </w:t>
      </w:r>
      <w:hyperlink w:anchor="ref-wgan">
        <w:r>
          <w:rPr>
            <w:rStyle w:val="Hyperlink"/>
          </w:rPr>
          <w:t xml:space="preserve">[8]</w:t>
        </w:r>
      </w:hyperlink>
      <w:r>
        <w:t xml:space="preserve"> </w:t>
      </w:r>
      <w:r>
        <w:t xml:space="preserve">for distributional matching, and density-ratio estimation</w:t>
      </w:r>
      <w:r>
        <w:t xml:space="preserve"> </w:t>
      </w:r>
      <w:hyperlink w:anchor="ref-densityratio">
        <w:r>
          <w:rPr>
            <w:rStyle w:val="Hyperlink"/>
          </w:rPr>
          <w:t xml:space="preserve">[9]</w:t>
        </w:r>
      </w:hyperlink>
      <w:r>
        <w:t xml:space="preserve"> </w:t>
      </w:r>
      <w:r>
        <w:t xml:space="preserve">for coverage. We adapt four of these defenses into a multi-critic prompt-debugging loop and ask whether the result produces synthetic data whose decision-boundary footprint complements other generation regimes, an empirical question a single-classifier macro-F1 protocol cannot answer. The evaluation lens that does answer it, cross-condition classifier ensembling, is also the source of the headline result, and is described separately under contribution (C1) below.</w:t>
      </w:r>
    </w:p>
    <w:p>
      <w:pPr>
        <w:pStyle w:val="BodyText"/>
        <w:jc w:val="both"/>
        <w:keepNext w:val="0"/>
        <w:keepLines w:val="0"/>
        <w:widowControl w:val="1"/>
      </w:pPr>
      <w:r>
        <w:rPr>
          <w:b/>
          <w:bCs/>
        </w:rPr>
        <w:t xml:space="preserve">Contributions.</w:t>
      </w:r>
      <w:r>
        <w:t xml:space="preserve"> </w:t>
      </w:r>
      <w:r>
        <w:t xml:space="preserve">Three.</w:t>
      </w:r>
    </w:p>
    <w:p>
      <w:pPr>
        <w:pStyle w:val="BodyText"/>
        <w:jc w:val="both"/>
        <w:keepNext w:val="0"/>
        <w:keepLines w:val="0"/>
        <w:widowControl w:val="1"/>
      </w:pPr>
      <w:r>
        <w:rPr>
          <w:b/>
          <w:bCs/>
        </w:rPr>
        <w:t xml:space="preserve">(C1) SynSmith, a single seven-critic prompt-debugging loop.</w:t>
      </w:r>
      <w:r>
        <w:t xml:space="preserve"> </w:t>
      </w:r>
      <w:r>
        <w:t xml:space="preserve">Three baseline critics (attribute verifier, realism discriminator, diversity auditor; Section 4) run alongside four GAN-inspired adversaries adapted to the prompt-debugging loop: a Pack Discriminator (PacGAN</w:t>
      </w:r>
      <w:r>
        <w:t xml:space="preserve"> </w:t>
      </w:r>
      <w:hyperlink w:anchor="ref-pacgan">
        <w:r>
          <w:rPr>
            <w:rStyle w:val="Hyperlink"/>
          </w:rPr>
          <w:t xml:space="preserve">[1]</w:t>
        </w:r>
      </w:hyperlink>
      <w:r>
        <w:t xml:space="preserve">), a Mode-Seeking ratio (MSGAN</w:t>
      </w:r>
      <w:r>
        <w:t xml:space="preserve"> </w:t>
      </w:r>
      <w:hyperlink w:anchor="ref-msgan">
        <w:r>
          <w:rPr>
            <w:rStyle w:val="Hyperlink"/>
          </w:rPr>
          <w:t xml:space="preserve">[3]</w:t>
        </w:r>
      </w:hyperlink>
      <w:r>
        <w:t xml:space="preserve">), a Mode Hunter with a persistent banned-phrasings memory, and a Coverage Hole Finder via density-ratio estimation</w:t>
      </w:r>
      <w:r>
        <w:t xml:space="preserve"> </w:t>
      </w:r>
      <w:hyperlink w:anchor="ref-densityratio">
        <w:r>
          <w:rPr>
            <w:rStyle w:val="Hyperlink"/>
          </w:rPr>
          <w:t xml:space="preserve">[9]</w:t>
        </w:r>
      </w:hyperlink>
      <w:r>
        <w:t xml:space="preserve"> </w:t>
      </w:r>
      <w:r>
        <w:t xml:space="preserve">(Section 5). SynSmith is the named, recommended configuration with all components ON; the empirical headline is that synth-only training on SynSmith's batch reaches a relative-ratio bracket of</w:t>
      </w:r>
      <w:r>
        <w:t xml:space="preserve"> </w:t>
      </w:r>
      <m:oMath>
        <m:d>
          <m:dPr>
            <m:begChr m:val="["/>
            <m:sepChr m:val=""/>
            <m:endChr m:val="]"/>
            <m:grow/>
          </m:dPr>
          <m:e>
            <m:r>
              <m:t>0.91</m:t>
            </m:r>
            <m:r>
              <m:rPr>
                <m:sty m:val="p"/>
              </m:rPr>
              <m:t>,</m:t>
            </m:r>
            <m:r>
              <m:t>1.07</m:t>
            </m:r>
          </m:e>
        </m:d>
      </m:oMath>
      <w:r>
        <w:t xml:space="preserve"> </w:t>
      </w:r>
      <w:r>
        <w:t xml:space="preserve">of real-only macro F1 across three standard benchmarks at</w:t>
      </w:r>
      <w:r>
        <w:t xml:space="preserve"> </w:t>
      </w:r>
      <m:oMath>
        <m:r>
          <m:t>10</m:t>
        </m:r>
      </m:oMath>
      <w:r>
        <w:t xml:space="preserve"> </w:t>
      </w:r>
      <w:r>
        <w:t xml:space="preserve">to</w:t>
      </w:r>
      <w:r>
        <w:t xml:space="preserve"> </w:t>
      </w:r>
      <m:oMath>
        <m:r>
          <m:t>30</m:t>
        </m:r>
      </m:oMath>
      <w:r>
        <w:t xml:space="preserve"> </w:t>
      </w:r>
      <w:r>
        <w:t xml:space="preserve">real-train per class, where</w:t>
      </w:r>
      <w:r>
        <w:t xml:space="preserve"> </w:t>
      </w:r>
      <m:oMath>
        <m:r>
          <m:t>1.0</m:t>
        </m:r>
      </m:oMath>
      <w:r>
        <w:t xml:space="preserve"> </w:t>
      </w:r>
      <w:r>
        <w:t xml:space="preserve">matches real-only. Per-dataset: SST-2</w:t>
      </w:r>
      <w:r>
        <w:t xml:space="preserve"> </w:t>
      </w:r>
      <m:oMath>
        <m:r>
          <m:t>1.04</m:t>
        </m:r>
      </m:oMath>
      <w:r>
        <w:t xml:space="preserve"> </w:t>
      </w:r>
      <m:oMath>
        <m:d>
          <m:dPr>
            <m:begChr m:val="["/>
            <m:sepChr m:val=""/>
            <m:endChr m:val="]"/>
            <m:grow/>
          </m:dPr>
          <m:e>
            <m:r>
              <m:t>1.00</m:t>
            </m:r>
            <m:r>
              <m:rPr>
                <m:sty m:val="p"/>
              </m:rPr>
              <m:t>,</m:t>
            </m:r>
            <m:r>
              <m:t>1.07</m:t>
            </m:r>
          </m:e>
        </m:d>
      </m:oMath>
      <w:r>
        <w:t xml:space="preserve"> </w:t>
      </w:r>
      <w:r>
        <w:t xml:space="preserve">(beats real-only), Banking77</w:t>
      </w:r>
      <w:r>
        <w:t xml:space="preserve"> </w:t>
      </w:r>
      <m:oMath>
        <m:r>
          <m:t>0.92</m:t>
        </m:r>
      </m:oMath>
      <w:r>
        <w:t xml:space="preserve"> </w:t>
      </w:r>
      <m:oMath>
        <m:d>
          <m:dPr>
            <m:begChr m:val="["/>
            <m:sepChr m:val=""/>
            <m:endChr m:val="]"/>
            <m:grow/>
          </m:dPr>
          <m:e>
            <m:r>
              <m:t>0.91</m:t>
            </m:r>
            <m:r>
              <m:rPr>
                <m:sty m:val="p"/>
              </m:rPr>
              <m:t>,</m:t>
            </m:r>
            <m:r>
              <m:t>0.93</m:t>
            </m:r>
          </m:e>
        </m:d>
      </m:oMath>
      <w:r>
        <w:t xml:space="preserve"> </w:t>
      </w:r>
      <w:r>
        <w:t xml:space="preserve">(trails by</w:t>
      </w:r>
      <w:r>
        <w:t xml:space="preserve"> </w:t>
      </w:r>
      <m:oMath>
        <m:r>
          <m:t>7</m:t>
        </m:r>
      </m:oMath>
      <w:r>
        <w:t xml:space="preserve"> </w:t>
      </w:r>
      <w:r>
        <w:t xml:space="preserve">to</w:t>
      </w:r>
      <w:r>
        <w:t xml:space="preserve"> </w:t>
      </w:r>
      <m:oMath>
        <m:r>
          <m:t>9</m:t>
        </m:r>
        <m:r>
          <m:rPr>
            <m:sty m:val="p"/>
          </m:rPr>
          <m:t>%</m:t>
        </m:r>
      </m:oMath>
      <w:r>
        <w:t xml:space="preserve"> </w:t>
      </w:r>
      <w:r>
        <w:t xml:space="preserve">of real-only), TREC</w:t>
      </w:r>
      <w:r>
        <w:t xml:space="preserve"> </w:t>
      </w:r>
      <m:oMath>
        <m:r>
          <m:t>1.00</m:t>
        </m:r>
      </m:oMath>
      <w:r>
        <w:t xml:space="preserve"> </w:t>
      </w:r>
      <m:oMath>
        <m:d>
          <m:dPr>
            <m:begChr m:val="["/>
            <m:sepChr m:val=""/>
            <m:endChr m:val="]"/>
            <m:grow/>
          </m:dPr>
          <m:e>
            <m:r>
              <m:t>0.92</m:t>
            </m:r>
            <m:r>
              <m:rPr>
                <m:sty m:val="p"/>
              </m:rPr>
              <m:t>,</m:t>
            </m:r>
            <m:r>
              <m:t>1.08</m:t>
            </m:r>
          </m:e>
        </m:d>
      </m:oMath>
      <w:r>
        <w:t xml:space="preserve"> </w:t>
      </w:r>
      <w:r>
        <w:t xml:space="preserve">(matches real-only). Section 7.5 carries the per-dataset table. On customer-support intent classification, SynSmith additionally combines with the simplest iterated baseline through cross-condition classifier ensembling to reach macro F1</w:t>
      </w:r>
      <w:r>
        <w:t xml:space="preserve"> </w:t>
      </w:r>
      <m:oMath>
        <m:r>
          <m:t>0.947</m:t>
        </m:r>
        <m:r>
          <m:rPr>
            <m:sty m:val="p"/>
          </m:rPr>
          <m:t>±</m:t>
        </m:r>
        <m:r>
          <m:t>0.056</m:t>
        </m:r>
      </m:oMath>
      <w:r>
        <w:t xml:space="preserve"> </w:t>
      </w:r>
      <w:r>
        <w:t xml:space="preserve">(Section 7.3).</w:t>
      </w:r>
    </w:p>
    <w:p>
      <w:pPr>
        <w:pStyle w:val="BodyText"/>
        <w:jc w:val="both"/>
        <w:keepNext w:val="0"/>
        <w:keepLines w:val="0"/>
        <w:widowControl w:val="1"/>
      </w:pPr>
      <w:r>
        <w:rPr>
          <w:b/>
          <w:bCs/>
        </w:rPr>
        <w:t xml:space="preserve">(C2) An ablation that attributes the gain to specific components, plus a post-hoc adversary audit.</w:t>
      </w:r>
      <w:r>
        <w:t xml:space="preserve"> </w:t>
      </w:r>
      <w:r>
        <w:t xml:space="preserve">A leave-one-out ablation (Section 7.3, Appendix H) drops each component and reports the F1 delta: iteration with the structured-feedback contract carries the largest single share, the Pack Discriminator and Mode Hunter contribute distinct measurable per-class lift on the failure modes they were designed to attack, and Mode-Seeking and Coverage Hole Finder do not measurably differentiate conditions in our experiments. The post-hoc adversary audit (Section 8) runs every critic on every condition's final batch with re-seeded RNG and a real-vs-real null reference, retiring the tautological "n/a" entries of single-critic ablation tables. Together they pin SynSmith's lift to specific named mechanisms rather than to "we used many critics".</w:t>
      </w:r>
    </w:p>
    <w:p>
      <w:pPr>
        <w:pStyle w:val="BodyText"/>
        <w:jc w:val="both"/>
        <w:keepNext w:val="0"/>
        <w:keepLines w:val="0"/>
        <w:widowControl w:val="1"/>
      </w:pPr>
      <w:r>
        <w:rPr>
          <w:b/>
          <w:bCs/>
        </w:rPr>
        <w:t xml:space="preserve">(C3) A structured-feedback contract for adversarial multi-critic loops.</w:t>
      </w:r>
      <w:r>
        <w:t xml:space="preserve"> </w:t>
      </w:r>
      <w:r>
        <w:t xml:space="preserve">Each critic emits named, typed complaints rather than scalar rewards; the prompt updater is required to satisfy them jointly under a length budget (Section 4). The contract yields two properties absent from scalar-reward stacks: locally targeted rewrites (each named complaint admits a specific rewrite clause) and joint constraint satisfaction (no single critic dominates by being the loudest). A reference implementation accompanies the paper at</w:t>
      </w:r>
      <w:r>
        <w:t xml:space="preserve"> </w:t>
      </w:r>
      <w:hyperlink r:id="rId10">
        <w:r>
          <w:rPr>
            <w:rStyle w:val="Hyperlink"/>
          </w:rPr>
          <w:t xml:space="preserve">github.com/ApartsinProjects/SynSmith</w:t>
        </w:r>
      </w:hyperlink>
      <w:r>
        <w:t xml:space="preserve">.</w:t>
      </w:r>
    </w:p>
    <w:p>
      <w:pPr>
        <w:pStyle w:val="BodyText"/>
        <w:jc w:val="both"/>
        <w:keepNext w:val="0"/>
        <w:keepLines w:val="0"/>
        <w:widowControl w:val="1"/>
      </w:pPr>
      <w:r>
        <w:rPr>
          <w:b/>
          <w:bCs/>
        </w:rPr>
        <w:t xml:space="preserve">Operating regime.</w:t>
      </w:r>
      <w:r>
        <w:t xml:space="preserve"> </w:t>
      </w:r>
      <w:r>
        <w:t xml:space="preserve">SynSmith is designed for the scarce-real regime:</w:t>
      </w:r>
      <w:r>
        <w:t xml:space="preserve"> </w:t>
      </w:r>
      <m:oMath>
        <m:r>
          <m:t>3</m:t>
        </m:r>
      </m:oMath>
      <w:r>
        <w:t xml:space="preserve"> </w:t>
      </w:r>
      <w:r>
        <w:t xml:space="preserve">to</w:t>
      </w:r>
      <w:r>
        <w:t xml:space="preserve"> </w:t>
      </w:r>
      <m:oMath>
        <m:r>
          <m:t>50</m:t>
        </m:r>
      </m:oMath>
      <w:r>
        <w:t xml:space="preserve"> </w:t>
      </w:r>
      <w:r>
        <w:t xml:space="preserve">real examples per class is enough to anchor the empirical-referent Verifier (Section 4.3), the few-shot generator pool, and the Realism, Coverage Hole, and Pack discriminators. Below</w:t>
      </w:r>
      <w:r>
        <w:t xml:space="preserve"> </w:t>
      </w:r>
      <m:oMath>
        <m:r>
          <m:t>3</m:t>
        </m:r>
      </m:oMath>
      <w:r>
        <w:t xml:space="preserve"> </w:t>
      </w:r>
      <w:r>
        <w:t xml:space="preserve">real examples per class the per-class anchoring degrades to schema-name-only verification; above</w:t>
      </w:r>
      <w:r>
        <w:t xml:space="preserve"> </w:t>
      </w:r>
      <m:oMath>
        <m:r>
          <m:rPr>
            <m:sty m:val="p"/>
          </m:rPr>
          <m:t>∼</m:t>
        </m:r>
        <m:r>
          <m:t>100</m:t>
        </m:r>
      </m:oMath>
      <w:r>
        <w:t xml:space="preserve"> </w:t>
      </w:r>
      <w:r>
        <w:t xml:space="preserve">per class the synth-vs-real gap a synth-only classifier can close shrinks because the real-only baseline is already strong. The reported runs sit inside this band:</w:t>
      </w:r>
      <w:r>
        <w:t xml:space="preserve"> </w:t>
      </w:r>
      <m:oMath>
        <m:r>
          <m:t>30</m:t>
        </m:r>
      </m:oMath>
      <w:r>
        <w:t xml:space="preserve"> </w:t>
      </w:r>
      <w:r>
        <w:t xml:space="preserve">real-train examples per class on SST-2 (binary),</w:t>
      </w:r>
      <w:r>
        <w:t xml:space="preserve"> </w:t>
      </w:r>
      <m:oMath>
        <m:r>
          <m:t>30</m:t>
        </m:r>
      </m:oMath>
      <w:r>
        <w:t xml:space="preserve"> </w:t>
      </w:r>
      <w:r>
        <w:t xml:space="preserve">per class on Banking77 (</w:t>
      </w:r>
      <m:oMath>
        <m:r>
          <m:t>10</m:t>
        </m:r>
      </m:oMath>
      <w:r>
        <w:t xml:space="preserve"> </w:t>
      </w:r>
      <w:r>
        <w:t xml:space="preserve">fine-grained card-payment intents),</w:t>
      </w:r>
      <w:r>
        <w:t xml:space="preserve"> </w:t>
      </w:r>
      <m:oMath>
        <m:r>
          <m:t>10</m:t>
        </m:r>
      </m:oMath>
      <w:r>
        <w:t xml:space="preserve"> </w:t>
      </w:r>
      <w:r>
        <w:t xml:space="preserve">per class on TREC (</w:t>
      </w:r>
      <m:oMath>
        <m:r>
          <m:t>6</m:t>
        </m:r>
      </m:oMath>
      <w:r>
        <w:t xml:space="preserve"> </w:t>
      </w:r>
      <w:r>
        <w:t xml:space="preserve">coarse question types), and</w:t>
      </w:r>
      <w:r>
        <w:t xml:space="preserve"> </w:t>
      </w:r>
      <m:oMath>
        <m:r>
          <m:t>6</m:t>
        </m:r>
      </m:oMath>
      <w:r>
        <w:t xml:space="preserve"> </w:t>
      </w:r>
      <w:r>
        <w:t xml:space="preserve">per class on customer-support (</w:t>
      </w:r>
      <m:oMath>
        <m:r>
          <m:t>5</m:t>
        </m:r>
      </m:oMath>
      <w:r>
        <w:t xml:space="preserve"> </w:t>
      </w:r>
      <w:r>
        <w:t xml:space="preserve">intents). Section 6.5 lists each critic's real-data dependence in detail and Section 7's headline tables report real-per-class alongside synth-only accuracy so the regime is unambiguous.</w:t>
      </w:r>
    </w:p>
    <w:bookmarkEnd w:id="12"/>
    <w:bookmarkStart w:id="23" w:name="sec-related"/>
    <w:p>
      <w:pPr>
        <w:pStyle w:val="Heading2"/>
        <w:keepNext/>
        <w:keepLines/>
        <w:widowControl w:val="1"/>
      </w:pPr>
      <w:r>
        <w:t xml:space="preserve">2</w:t>
      </w:r>
      <w:r>
        <w:t xml:space="preserve"> </w:t>
      </w:r>
      <w:r>
        <w:t xml:space="preserve">Related work</w:t>
      </w:r>
    </w:p>
    <w:bookmarkStart w:id="13" w:name="synthetic-data-generation-with-llms"/>
    <w:p>
      <w:pPr>
        <w:pStyle w:val="Heading3"/>
        <w:keepNext/>
        <w:keepLines/>
        <w:widowControl w:val="1"/>
      </w:pPr>
      <w:r>
        <w:t xml:space="preserve">2.1</w:t>
      </w:r>
      <w:r>
        <w:t xml:space="preserve"> </w:t>
      </w:r>
      <w:r>
        <w:t xml:space="preserve">Synthetic data generation with LLMs</w:t>
      </w:r>
    </w:p>
    <w:p>
      <w:pPr>
        <w:pStyle w:val="FirstParagraph"/>
        <w:jc w:val="both"/>
        <w:keepNext w:val="0"/>
        <w:keepLines w:val="0"/>
        <w:widowControl w:val="1"/>
      </w:pPr>
      <w:r>
        <w:t xml:space="preserve">LLM-based data augmentation strategies range from zero-shot generation prompts to multi-step pipelines that combine retrieval, filtering, and self-correction. Self-Instruct</w:t>
      </w:r>
      <w:r>
        <w:t xml:space="preserve"> </w:t>
      </w:r>
      <w:hyperlink w:anchor="ref-self-instruct">
        <w:r>
          <w:rPr>
            <w:rStyle w:val="Hyperlink"/>
          </w:rPr>
          <w:t xml:space="preserve">[5]</w:t>
        </w:r>
      </w:hyperlink>
      <w:r>
        <w:t xml:space="preserve"> </w:t>
      </w:r>
      <w:r>
        <w:t xml:space="preserve">and Unnatural Instructions</w:t>
      </w:r>
      <w:r>
        <w:t xml:space="preserve"> </w:t>
      </w:r>
      <w:hyperlink w:anchor="ref-honovich">
        <w:r>
          <w:rPr>
            <w:rStyle w:val="Hyperlink"/>
          </w:rPr>
          <w:t xml:space="preserve">[4]</w:t>
        </w:r>
      </w:hyperlink>
      <w:r>
        <w:t xml:space="preserve"> </w:t>
      </w:r>
      <w:r>
        <w:t xml:space="preserve">bootstrap instruction-tuning corpora through LLM self-generation. InPars</w:t>
      </w:r>
      <w:r>
        <w:t xml:space="preserve"> </w:t>
      </w:r>
      <w:hyperlink w:anchor="ref-inpars">
        <w:r>
          <w:rPr>
            <w:rStyle w:val="Hyperlink"/>
          </w:rPr>
          <w:t xml:space="preserve">[10]</w:t>
        </w:r>
      </w:hyperlink>
      <w:r>
        <w:t xml:space="preserve">, SuperGen</w:t>
      </w:r>
      <w:r>
        <w:t xml:space="preserve"> </w:t>
      </w:r>
      <w:hyperlink w:anchor="ref-supergen">
        <w:r>
          <w:rPr>
            <w:rStyle w:val="Hyperlink"/>
          </w:rPr>
          <w:t xml:space="preserve">[11]</w:t>
        </w:r>
      </w:hyperlink>
      <w:r>
        <w:t xml:space="preserve">, and ProGen</w:t>
      </w:r>
      <w:r>
        <w:t xml:space="preserve"> </w:t>
      </w:r>
      <w:hyperlink w:anchor="ref-progen">
        <w:r>
          <w:rPr>
            <w:rStyle w:val="Hyperlink"/>
          </w:rPr>
          <w:t xml:space="preserve">[12]</w:t>
        </w:r>
      </w:hyperlink>
      <w:r>
        <w:t xml:space="preserve"> </w:t>
      </w:r>
      <w:r>
        <w:t xml:space="preserve">use LLMs to synthesize training data for downstream classifiers and rerankers. West et al. (Symbolic Knowledge Distillation)</w:t>
      </w:r>
      <w:r>
        <w:t xml:space="preserve"> </w:t>
      </w:r>
      <w:hyperlink w:anchor="ref-westsymbolic">
        <w:r>
          <w:rPr>
            <w:rStyle w:val="Hyperlink"/>
          </w:rPr>
          <w:t xml:space="preserve">[13]</w:t>
        </w:r>
      </w:hyperlink>
      <w:r>
        <w:t xml:space="preserve"> </w:t>
      </w:r>
      <w:r>
        <w:t xml:space="preserve">use a large LLM to distill structured knowledge into a smaller model.</w:t>
      </w:r>
    </w:p>
    <w:p>
      <w:pPr>
        <w:pStyle w:val="BodyText"/>
        <w:jc w:val="both"/>
        <w:keepNext w:val="0"/>
        <w:keepLines w:val="0"/>
        <w:widowControl w:val="1"/>
      </w:pPr>
      <w:r>
        <w:t xml:space="preserve">The sharpest single comparison point is AttrPrompt</w:t>
      </w:r>
      <w:r>
        <w:t xml:space="preserve"> </w:t>
      </w:r>
      <w:hyperlink w:anchor="ref-attrprompt">
        <w:r>
          <w:rPr>
            <w:rStyle w:val="Hyperlink"/>
          </w:rPr>
          <w:t xml:space="preserve">[49]</w:t>
        </w:r>
      </w:hyperlink>
      <w:r>
        <w:t xml:space="preserve">, which conditions one-shot LLM generation on diverse attribute vectors and reports diversity and downstream-accuracy gains over class-conditional prompting on NYT, Amazon, Reddit, and arXiv. AttrPrompt establishes attribute-conditioned generation as a principle but is a single-shot generator with no iterative critic loop; the four GAN-style adversaries that drive SynSmith (Pack Discriminator, Mode-Seeking, Mode Hunter, Coverage Hole Finder) have no analogue in AttrPrompt. WANLI</w:t>
      </w:r>
      <w:r>
        <w:t xml:space="preserve"> </w:t>
      </w:r>
      <w:hyperlink w:anchor="ref-wanli">
        <w:r>
          <w:rPr>
            <w:rStyle w:val="Hyperlink"/>
          </w:rPr>
          <w:t xml:space="preserve">[50]</w:t>
        </w:r>
      </w:hyperlink>
      <w:r>
        <w:t xml:space="preserve"> </w:t>
      </w:r>
      <w:r>
        <w:t xml:space="preserve">pairs dataset cartography with GPT-3 generation and human relabeling, demonstrating that distribution-aware sampling produces more challenging synthetic NLI than uniform sampling; the "real-distribution anchor" idea is shared, but WANLI requires a human relabel step that SynSmith replaces with an LLM Verifier whose attribute_match is gated by the class label only (Section 4).</w:t>
      </w:r>
    </w:p>
    <w:p>
      <w:pPr>
        <w:pStyle w:val="BodyText"/>
        <w:jc w:val="both"/>
        <w:keepNext w:val="0"/>
        <w:keepLines w:val="0"/>
        <w:widowControl w:val="1"/>
      </w:pPr>
      <w:r>
        <w:t xml:space="preserve">Iterative-feedback synth generators are the next-closest family. S3</w:t>
      </w:r>
      <w:r>
        <w:t xml:space="preserve"> </w:t>
      </w:r>
      <w:hyperlink w:anchor="ref-s3">
        <w:r>
          <w:rPr>
            <w:rStyle w:val="Hyperlink"/>
          </w:rPr>
          <w:t xml:space="preserve">[51]</w:t>
        </w:r>
      </w:hyperlink>
      <w:r>
        <w:t xml:space="preserve"> </w:t>
      </w:r>
      <w:r>
        <w:t xml:space="preserve">trains a small classifier on the synthetic batch, extrapolates its errors on a gold validation slice, and re-prompts the LLM with those errors as targets; ProGen</w:t>
      </w:r>
      <w:r>
        <w:t xml:space="preserve"> </w:t>
      </w:r>
      <w:hyperlink w:anchor="ref-progen">
        <w:r>
          <w:rPr>
            <w:rStyle w:val="Hyperlink"/>
          </w:rPr>
          <w:t xml:space="preserve">[12]</w:t>
        </w:r>
      </w:hyperlink>
      <w:r>
        <w:t xml:space="preserve"> </w:t>
      </w:r>
      <w:r>
        <w:t xml:space="preserve">uses noise-tolerant influence functions on a similar small-model loop. TarGEN</w:t>
      </w:r>
      <w:r>
        <w:t xml:space="preserve"> </w:t>
      </w:r>
      <w:hyperlink w:anchor="ref-targen">
        <w:r>
          <w:rPr>
            <w:rStyle w:val="Hyperlink"/>
          </w:rPr>
          <w:t xml:space="preserve">[52]</w:t>
        </w:r>
      </w:hyperlink>
      <w:r>
        <w:t xml:space="preserve"> </w:t>
      </w:r>
      <w:r>
        <w:t xml:space="preserve">adds a self-correction module for label noise after multi-step prompting. ARISE</w:t>
      </w:r>
      <w:r>
        <w:t xml:space="preserve"> </w:t>
      </w:r>
      <w:hyperlink w:anchor="ref-arise">
        <w:r>
          <w:rPr>
            <w:rStyle w:val="Hyperlink"/>
          </w:rPr>
          <w:t xml:space="preserve">[53]</w:t>
        </w:r>
      </w:hyperlink>
      <w:r>
        <w:t xml:space="preserve"> </w:t>
      </w:r>
      <w:r>
        <w:t xml:space="preserve">iterates rule induction over syntactic n-grams and bootstrapped filtering. PACE / Synthline</w:t>
      </w:r>
      <w:r>
        <w:t xml:space="preserve"> </w:t>
      </w:r>
      <w:hyperlink w:anchor="ref-pace">
        <w:r>
          <w:rPr>
            <w:rStyle w:val="Hyperlink"/>
          </w:rPr>
          <w:t xml:space="preserve">[42]</w:t>
        </w:r>
      </w:hyperlink>
      <w:r>
        <w:t xml:space="preserve"> </w:t>
      </w:r>
      <w:r>
        <w:t xml:space="preserve">combines multi-sample prompting with an actor-critic prompt-editing loop and reports F1 gains of</w:t>
      </w:r>
      <w:r>
        <w:t xml:space="preserve"> </w:t>
      </w:r>
      <m:oMath>
        <m:r>
          <m:t>6</m:t>
        </m:r>
      </m:oMath>
      <w:r>
        <w:t xml:space="preserve"> </w:t>
      </w:r>
      <w:r>
        <w:t xml:space="preserve">to</w:t>
      </w:r>
      <w:r>
        <w:t xml:space="preserve"> </w:t>
      </w:r>
      <m:oMath>
        <m:r>
          <m:t>43.8</m:t>
        </m:r>
      </m:oMath>
      <w:r>
        <w:t xml:space="preserve"> </w:t>
      </w:r>
      <w:r>
        <w:t xml:space="preserve">percentage points on Requirements Engineering classification, while naming the "diversity-as-metric vs utility-as-goal" tension that a single-objective optimizer faces. Genetic Prompt</w:t>
      </w:r>
      <w:r>
        <w:t xml:space="preserve"> </w:t>
      </w:r>
      <w:hyperlink w:anchor="ref-genprompt">
        <w:r>
          <w:rPr>
            <w:rStyle w:val="Hyperlink"/>
          </w:rPr>
          <w:t xml:space="preserve">[43]</w:t>
        </w:r>
      </w:hyperlink>
      <w:r>
        <w:t xml:space="preserve"> </w:t>
      </w:r>
      <w:r>
        <w:t xml:space="preserve">treats class-conditional attributes as gene sequences and uses the LLM to simulate crossover and mutation. CoT-Self-Instruct</w:t>
      </w:r>
      <w:r>
        <w:t xml:space="preserve"> </w:t>
      </w:r>
      <w:hyperlink w:anchor="ref-cotselfinstr">
        <w:r>
          <w:rPr>
            <w:rStyle w:val="Hyperlink"/>
          </w:rPr>
          <w:t xml:space="preserve">[46]</w:t>
        </w:r>
      </w:hyperlink>
      <w:r>
        <w:t xml:space="preserve"> </w:t>
      </w:r>
      <w:r>
        <w:t xml:space="preserve">applies Answer-Consistency and Rejecting-Instruction-Preferences filters in the reasoning domain. Self-Refine</w:t>
      </w:r>
      <w:r>
        <w:t xml:space="preserve"> </w:t>
      </w:r>
      <w:hyperlink w:anchor="ref-selfrefine">
        <w:r>
          <w:rPr>
            <w:rStyle w:val="Hyperlink"/>
          </w:rPr>
          <w:t xml:space="preserve">[54]</w:t>
        </w:r>
      </w:hyperlink>
      <w:r>
        <w:t xml:space="preserve"> </w:t>
      </w:r>
      <w:r>
        <w:t xml:space="preserve">and Reflexion</w:t>
      </w:r>
      <w:r>
        <w:t xml:space="preserve"> </w:t>
      </w:r>
      <w:hyperlink w:anchor="ref-reflexion">
        <w:r>
          <w:rPr>
            <w:rStyle w:val="Hyperlink"/>
          </w:rPr>
          <w:t xml:space="preserve">[55]</w:t>
        </w:r>
      </w:hyperlink>
      <w:r>
        <w:t xml:space="preserve"> </w:t>
      </w:r>
      <w:r>
        <w:t xml:space="preserve">generalize iterative critique-refine loops to general agent tasks but operate on single outputs, not data distributions, and use a single critic role.</w:t>
      </w:r>
    </w:p>
    <w:p>
      <w:pPr>
        <w:pStyle w:val="BodyText"/>
        <w:jc w:val="both"/>
        <w:keepNext w:val="0"/>
        <w:keepLines w:val="0"/>
        <w:widowControl w:val="1"/>
      </w:pPr>
      <w:r>
        <w:t xml:space="preserve">All of these methods optimize one signal at a time. S3 and ProGen optimize for downstream validation accuracy; TarGEN for label correctness; ARISE for rule satisfaction; PACE for lexical diversity; AttrPrompt for attribute coverage at generation time. SynSmith runs a multi-critic stack in which seven critics (three baseline plus four GAN-style adversaries) each emit named, falsifiable complaints, and the prompt updater is asked to satisfy them jointly. The critic-coverage matrix below makes the structural difference explicit:</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2" w:space="288" w:equalWidth="1"/>
          <w:docGrid w:linePitch="360"/>
        </w:sectPr>
      </w:pPr>
    </w:p>
    <w:p>
      <w:pPr>
        <w:pStyle w:val="TableCaption"/>
        <w:spacing w:before="240" w:after="60" w:line="240" w:lineRule="auto"/>
        <w:jc w:val="center"/>
        <w:keepNext/>
        <w:keepLines/>
        <w:widowControl w:val="1"/>
      </w:pPr>
      <w:r>
        <w:rPr>
          <w:b/>
          <w:i/>
        </w:rPr>
        <w:t>Table 1:</w:t>
      </w:r>
      <w:r>
        <w:rPr>
          <w:b w:val="0"/>
          <w:i/>
        </w:rPr>
        <w:t xml:space="preserve"> </w:t>
      </w:r>
      <w:r>
        <w:rPr>
          <w:b w:val="0"/>
          <w:i/>
        </w:rPr>
        <w:t>Critic-coverage matrix. One column per critic family (rows are prior methods). SynSmith is the only row that combines all five families: attribute fidelity, real-vs-synthetic realism, mode-collapse defense (the four GAN-style adversaries), coverage-gap repair, and an iterated multi-critic updater. AttrPrompt establishes attribute conditioning but is one-shot; S3, ProGen, TarGEN, ARISE, and PACE all iterate but optimize a single objective; Reflexion / Self-Refine / DSPy / TextGrad optimize single outputs or single prompts, not data distributions. Full critic-by-critic matrix is in Appendix A.</w:t>
      </w:r>
    </w:p>
    <w:tbl>
      <w:tblPr>
        <w:tblStyle w:val="Table"/>
        <w:tblW w:type="pct" w:w="5000"/>
        <w:jc w:val="center"/>
        <w:tblLook w:firstRow="1" w:lastRow="0" w:firstColumn="0" w:lastColumn="0" w:noHBand="0" w:noVBand="0" w:val="0020"/>
        <w:tblCaption w:val="Table 1: Critic-coverage matrix. One column per critic family (rows are prior methods). SynSmith is the only row that combines all five families: attribute fidelity, real-vs-synthetic realism, mode-collapse defense (the four GAN-style adversaries), coverage-gap repair, and an iterated multi-critic updater. AttrPrompt establishes attribute conditioning but is one-shot; S3, ProGen, TarGEN, ARISE, and PACE all iterate but optimize a single objective; Reflexion / Self-Refine / DSPy / TextGrad optimize single outputs or single prompts, not data distributions. Full critic-by-critic matrix is in Appendix A."/>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320"/>
        <w:gridCol w:w="1320"/>
        <w:gridCol w:w="1320"/>
        <w:gridCol w:w="1320"/>
        <w:gridCol w:w="1320"/>
        <w:gridCol w:w="132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Method</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Attribute fidelity</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Realism (real-vs-synth)</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Mode-collapse defense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Coverage gaps</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Iterated multi-critic</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b/>
                <w:bCs/>
                <w:sz w:val="19"/>
              </w:rPr>
              <w:t xml:space="preserve">SynSmith</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 (4 axes)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AttrPrompt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 (1-shot)</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S3 / ProGen</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implicit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implicit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single-objective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TarGEN / ARISE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label / rule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single-objective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PACE / Synthline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actor-critic</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Reflexion / Self-Refine / DSPy / TextGrad</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metric</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single output / prompt</w:t>
            </w:r>
          </w:p>
        </w:tc>
      </w:tr>
    </w:tbl>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1" w:space="288"/>
          <w:docGrid w:linePitch="360"/>
        </w:sectPr>
      </w:pPr>
    </w:p>
    <w:p>
      <w:pPr>
        <w:pStyle w:val="BodyText"/>
        <w:jc w:val="both"/>
        <w:keepNext w:val="0"/>
        <w:keepLines w:val="0"/>
        <w:widowControl w:val="1"/>
      </w:pPr>
      <w:r>
        <w:t xml:space="preserve">PerFine</w:t>
      </w:r>
      <w:r>
        <w:t xml:space="preserve"> </w:t>
      </w:r>
      <w:hyperlink w:anchor="ref-perfine">
        <w:r>
          <w:rPr>
            <w:rStyle w:val="Hyperlink"/>
          </w:rPr>
          <w:t xml:space="preserve">[45]</w:t>
        </w:r>
      </w:hyperlink>
      <w:r>
        <w:t xml:space="preserve"> </w:t>
      </w:r>
      <w:r>
        <w:t xml:space="preserve">is the closest 2025 analog of our "named complaints, not scalar rewards" feedback contract: it emits structured complaints along four named dimensions (tone, vocabulary, sentence structure, topicality) and uses a cross-iteration knockout. PerFine reports</w:t>
      </w:r>
      <w:r>
        <w:t xml:space="preserve"> </w:t>
      </w:r>
      <m:oMath>
        <m:r>
          <m:rPr>
            <m:sty m:val="p"/>
          </m:rPr>
          <m:t>+</m:t>
        </m:r>
        <m:r>
          <m:t>7.8</m:t>
        </m:r>
      </m:oMath>
      <w:r>
        <w:t xml:space="preserve"> </w:t>
      </w:r>
      <w:r>
        <w:t xml:space="preserve">to</w:t>
      </w:r>
      <w:r>
        <w:t xml:space="preserve"> </w:t>
      </w:r>
      <m:oMath>
        <m:r>
          <m:rPr>
            <m:sty m:val="p"/>
          </m:rPr>
          <m:t>+</m:t>
        </m:r>
        <m:r>
          <m:t>13.4</m:t>
        </m:r>
      </m:oMath>
      <w:r>
        <w:t xml:space="preserve"> </w:t>
      </w:r>
      <w:r>
        <w:t xml:space="preserve">percentage points G-Eval over baselines on Yelp / Goodreads / Amazon, evidence that structured multi-dimensional critique outperforms scalar judgments outside of synthetic data generation; our seven-critic stack extends the same contract to four GAN-style adversaries.</w:t>
      </w:r>
    </w:p>
    <w:p>
      <w:pPr>
        <w:pStyle w:val="BodyText"/>
        <w:jc w:val="both"/>
        <w:keepNext w:val="0"/>
        <w:keepLines w:val="0"/>
        <w:widowControl w:val="1"/>
      </w:pPr>
      <w:r>
        <w:t xml:space="preserve">SynSmith's positioning, in one sentence:</w:t>
      </w:r>
      <w:r>
        <w:t xml:space="preserve"> </w:t>
      </w:r>
      <w:r>
        <w:rPr>
          <w:i/>
          <w:iCs/>
        </w:rPr>
        <w:t xml:space="preserve">the first attribute-conditioned synthetic-data framework with a multi-critic adversarial loop in which every critic is anchored to the real-seed distribution</w:t>
      </w:r>
      <w:r>
        <w:t xml:space="preserve"> </w:t>
      </w:r>
      <w:r>
        <w:t xml:space="preserve">(via empirical-anchor calibration of the Verifier, domain-canonical veto of the Mode Hunter, and distribution-aware judging of the Realism Discriminator), evaluated across four task families (sentiment, fine-grained intent, question-type, NLI) that no single competitor's headline tables cover.</w:t>
      </w:r>
    </w:p>
    <w:bookmarkEnd w:id="13"/>
    <w:bookmarkStart w:id="14" w:name="X23196f5ae01e534c9569b7eff61e457d49f9d2a"/>
    <w:p>
      <w:pPr>
        <w:pStyle w:val="Heading3"/>
        <w:keepNext/>
        <w:keepLines/>
        <w:widowControl w:val="1"/>
      </w:pPr>
      <w:r>
        <w:t xml:space="preserve">2.2</w:t>
      </w:r>
      <w:r>
        <w:t xml:space="preserve"> </w:t>
      </w:r>
      <w:r>
        <w:t xml:space="preserve">Prompt optimization via search and rewrite</w:t>
      </w:r>
    </w:p>
    <w:p>
      <w:pPr>
        <w:pStyle w:val="FirstParagraph"/>
        <w:jc w:val="both"/>
        <w:keepNext w:val="0"/>
        <w:keepLines w:val="0"/>
        <w:widowControl w:val="1"/>
      </w:pPr>
      <w:r>
        <w:t xml:space="preserve">Several recent works treat prompt design as a discrete search problem. APE</w:t>
      </w:r>
      <w:r>
        <w:t xml:space="preserve"> </w:t>
      </w:r>
      <w:hyperlink w:anchor="ref-ape">
        <w:r>
          <w:rPr>
            <w:rStyle w:val="Hyperlink"/>
          </w:rPr>
          <w:t xml:space="preserve">[14]</w:t>
        </w:r>
      </w:hyperlink>
      <w:r>
        <w:t xml:space="preserve"> </w:t>
      </w:r>
      <w:r>
        <w:t xml:space="preserve">generates many candidate prompts and selects by held-out score. OPRO</w:t>
      </w:r>
      <w:r>
        <w:t xml:space="preserve"> </w:t>
      </w:r>
      <w:hyperlink w:anchor="ref-opro">
        <w:r>
          <w:rPr>
            <w:rStyle w:val="Hyperlink"/>
          </w:rPr>
          <w:t xml:space="preserve">[15]</w:t>
        </w:r>
      </w:hyperlink>
      <w:r>
        <w:t xml:space="preserve"> </w:t>
      </w:r>
      <w:r>
        <w:t xml:space="preserve">uses LLMs as optimizers that propose new candidates conditioned on the trajectory so far. EvoPrompt</w:t>
      </w:r>
      <w:r>
        <w:t xml:space="preserve"> </w:t>
      </w:r>
      <w:hyperlink w:anchor="ref-evoprompt">
        <w:r>
          <w:rPr>
            <w:rStyle w:val="Hyperlink"/>
          </w:rPr>
          <w:t xml:space="preserve">[16]</w:t>
        </w:r>
      </w:hyperlink>
      <w:r>
        <w:t xml:space="preserve"> </w:t>
      </w:r>
      <w:r>
        <w:t xml:space="preserve">applies evolutionary search to prompts. PromptBreeder</w:t>
      </w:r>
      <w:r>
        <w:t xml:space="preserve"> </w:t>
      </w:r>
      <w:hyperlink w:anchor="ref-promptbreeder">
        <w:r>
          <w:rPr>
            <w:rStyle w:val="Hyperlink"/>
          </w:rPr>
          <w:t xml:space="preserve">[17]</w:t>
        </w:r>
      </w:hyperlink>
      <w:r>
        <w:t xml:space="preserve"> </w:t>
      </w:r>
      <w:r>
        <w:t xml:space="preserve">uses LLM-driven mutation operators within an evolutionary loop. DSPy</w:t>
      </w:r>
      <w:r>
        <w:t xml:space="preserve"> </w:t>
      </w:r>
      <w:hyperlink w:anchor="ref-dspy">
        <w:r>
          <w:rPr>
            <w:rStyle w:val="Hyperlink"/>
          </w:rPr>
          <w:t xml:space="preserve">[18]</w:t>
        </w:r>
      </w:hyperlink>
      <w:r>
        <w:t xml:space="preserve"> </w:t>
      </w:r>
      <w:r>
        <w:t xml:space="preserve">compiles modular programs with optimized prompts. TextGrad</w:t>
      </w:r>
      <w:r>
        <w:t xml:space="preserve"> </w:t>
      </w:r>
      <w:hyperlink w:anchor="ref-textgrad">
        <w:r>
          <w:rPr>
            <w:rStyle w:val="Hyperlink"/>
          </w:rPr>
          <w:t xml:space="preserve">[19]</w:t>
        </w:r>
      </w:hyperlink>
      <w:r>
        <w:t xml:space="preserve"> </w:t>
      </w:r>
      <w:r>
        <w:t xml:space="preserve">treats prompts and outputs as differentiable artifacts updated by LLM-generated "text gradients". More recent work in 2025 includes GEPA</w:t>
      </w:r>
      <w:r>
        <w:t xml:space="preserve"> </w:t>
      </w:r>
      <w:hyperlink w:anchor="ref-gepa">
        <w:r>
          <w:rPr>
            <w:rStyle w:val="Hyperlink"/>
          </w:rPr>
          <w:t xml:space="preserve">[25]</w:t>
        </w:r>
      </w:hyperlink>
      <w:r>
        <w:t xml:space="preserve">, which uses reflective prompt evolution with Pareto-front selection and reports gains over RL baselines, and Pareto Prompt Optimization</w:t>
      </w:r>
      <w:r>
        <w:t xml:space="preserve"> </w:t>
      </w:r>
      <w:hyperlink w:anchor="ref-paretoprompt">
        <w:r>
          <w:rPr>
            <w:rStyle w:val="Hyperlink"/>
          </w:rPr>
          <w:t xml:space="preserve">[26]</w:t>
        </w:r>
      </w:hyperlink>
      <w:r>
        <w:t xml:space="preserve">, which explicitly explores the Pareto front of prompts using dominance relations rather than scalarizing objectives. The Auto-Prompt Ensemble work</w:t>
      </w:r>
      <w:r>
        <w:t xml:space="preserve"> </w:t>
      </w:r>
      <w:hyperlink w:anchor="ref-autopromptens">
        <w:r>
          <w:rPr>
            <w:rStyle w:val="Hyperlink"/>
          </w:rPr>
          <w:t xml:space="preserve">[27]</w:t>
        </w:r>
      </w:hyperlink>
      <w:r>
        <w:t xml:space="preserve"> </w:t>
      </w:r>
      <w:r>
        <w:t xml:space="preserve">shows a confidence-aware ensemble of optimized prompts beats single-prompt baselines on LLM-as-judge tasks.</w:t>
      </w:r>
    </w:p>
    <w:p>
      <w:pPr>
        <w:pStyle w:val="BodyText"/>
        <w:jc w:val="both"/>
        <w:keepNext w:val="0"/>
        <w:keepLines w:val="0"/>
        <w:widowControl w:val="1"/>
      </w:pPr>
      <w:r>
        <w:t xml:space="preserve">SynSmith differs from this line in three ways. First, our objective is structurally multi-axis: seven critics (three baseline plus four mode-collapse adversaries) each emit named, falsifiable complaints rather than scalar rewards. Second, the updater is asked to satisfy them jointly under a length budget rather than through scalarization. Third, we explicitly transfer batch-level defenses from the GAN literature, which to our knowledge no prior prompt-optimization work has done.</w:t>
      </w:r>
    </w:p>
    <w:bookmarkEnd w:id="14"/>
    <w:bookmarkStart w:id="15" w:name="multi-critic-and-debate-style-judges"/>
    <w:p>
      <w:pPr>
        <w:pStyle w:val="Heading3"/>
        <w:keepNext/>
        <w:keepLines/>
        <w:widowControl w:val="1"/>
      </w:pPr>
      <w:r>
        <w:t xml:space="preserve">2.3</w:t>
      </w:r>
      <w:r>
        <w:t xml:space="preserve"> </w:t>
      </w:r>
      <w:r>
        <w:t xml:space="preserve">Multi-critic and debate-style judges</w:t>
      </w:r>
    </w:p>
    <w:p>
      <w:pPr>
        <w:pStyle w:val="FirstParagraph"/>
        <w:jc w:val="both"/>
        <w:keepNext w:val="0"/>
        <w:keepLines w:val="0"/>
        <w:widowControl w:val="1"/>
      </w:pPr>
      <w:r>
        <w:t xml:space="preserve">Hu et al.'s Multi-Agent Debate for LLM Judges</w:t>
      </w:r>
      <w:r>
        <w:t xml:space="preserve"> </w:t>
      </w:r>
      <w:hyperlink w:anchor="ref-debatejudges">
        <w:r>
          <w:rPr>
            <w:rStyle w:val="Hyperlink"/>
          </w:rPr>
          <w:t xml:space="preserve">[29]</w:t>
        </w:r>
      </w:hyperlink>
      <w:r>
        <w:t xml:space="preserve"> </w:t>
      </w:r>
      <w:r>
        <w:t xml:space="preserve">formally proves that debate amplifies judge correctness over static ensembles and introduces adaptive Beta-Binomial stopping rules. This is complementary to our work: debate adds deliberation between judges, while we add adversarial batch-level dynamics. Our seven critics are intentionally independent rather than deliberative; combining the two paradigms is a natural extension.</w:t>
      </w:r>
    </w:p>
    <w:bookmarkEnd w:id="15"/>
    <w:bookmarkStart w:id="16" w:name="llm-as-judge"/>
    <w:p>
      <w:pPr>
        <w:pStyle w:val="Heading3"/>
        <w:keepNext/>
        <w:keepLines/>
        <w:widowControl w:val="1"/>
      </w:pPr>
      <w:r>
        <w:t xml:space="preserve">2.4</w:t>
      </w:r>
      <w:r>
        <w:t xml:space="preserve"> </w:t>
      </w:r>
      <w:r>
        <w:t xml:space="preserve">LLM-as-judge</w:t>
      </w:r>
    </w:p>
    <w:p>
      <w:pPr>
        <w:pStyle w:val="FirstParagraph"/>
        <w:jc w:val="both"/>
        <w:keepNext w:val="0"/>
        <w:keepLines w:val="0"/>
        <w:widowControl w:val="1"/>
      </w:pPr>
      <w:r>
        <w:t xml:space="preserve">LLM-as-judge methods</w:t>
      </w:r>
      <w:r>
        <w:t xml:space="preserve"> </w:t>
      </w:r>
      <w:hyperlink w:anchor="ref-judge">
        <w:r>
          <w:rPr>
            <w:rStyle w:val="Hyperlink"/>
          </w:rPr>
          <w:t xml:space="preserve">[6]</w:t>
        </w:r>
      </w:hyperlink>
      <w:r>
        <w:t xml:space="preserve"> </w:t>
      </w:r>
      <w:r>
        <w:t xml:space="preserve">have become standard for open-ended evaluation, with G-Eval</w:t>
      </w:r>
      <w:r>
        <w:t xml:space="preserve"> </w:t>
      </w:r>
      <w:hyperlink w:anchor="ref-geval">
        <w:r>
          <w:rPr>
            <w:rStyle w:val="Hyperlink"/>
          </w:rPr>
          <w:t xml:space="preserve">[20]</w:t>
        </w:r>
      </w:hyperlink>
      <w:r>
        <w:t xml:space="preserve"> </w:t>
      </w:r>
      <w:r>
        <w:t xml:space="preserve">systematizing rubric-driven evaluation and self-consistency</w:t>
      </w:r>
      <w:r>
        <w:t xml:space="preserve"> </w:t>
      </w:r>
      <w:hyperlink w:anchor="ref-selfconsistency">
        <w:r>
          <w:rPr>
            <w:rStyle w:val="Hyperlink"/>
          </w:rPr>
          <w:t xml:space="preserve">[21]</w:t>
        </w:r>
      </w:hyperlink>
      <w:r>
        <w:t xml:space="preserve"> </w:t>
      </w:r>
      <w:r>
        <w:t xml:space="preserve">reducing variance. We extend that pattern to synthetic-data generation and add the specific structural property that each critic's output grammar is bounded so the updater receives</w:t>
      </w:r>
      <w:r>
        <w:t xml:space="preserve"> </w:t>
      </w:r>
      <w:r>
        <w:rPr>
          <w:i/>
          <w:iCs/>
        </w:rPr>
        <w:t xml:space="preserve">named</w:t>
      </w:r>
      <w:r>
        <w:t xml:space="preserve"> </w:t>
      </w:r>
      <w:r>
        <w:t xml:space="preserve">complaints rather than free-form prose.</w:t>
      </w:r>
    </w:p>
    <w:bookmarkEnd w:id="16"/>
    <w:bookmarkStart w:id="17" w:name="Xde87835405e4957e6af80978c52d29d253068b2"/>
    <w:p>
      <w:pPr>
        <w:pStyle w:val="Heading3"/>
        <w:keepNext/>
        <w:keepLines/>
        <w:widowControl w:val="1"/>
      </w:pPr>
      <w:r>
        <w:t xml:space="preserve">2.5</w:t>
      </w:r>
      <w:r>
        <w:t xml:space="preserve"> </w:t>
      </w:r>
      <w:r>
        <w:t xml:space="preserve">Mode collapse in GANs and its measurement</w:t>
      </w:r>
    </w:p>
    <w:p>
      <w:pPr>
        <w:pStyle w:val="FirstParagraph"/>
        <w:jc w:val="both"/>
        <w:keepNext w:val="0"/>
        <w:keepLines w:val="0"/>
        <w:widowControl w:val="1"/>
      </w:pPr>
      <w:r>
        <w:t xml:space="preserve">Mode collapse is a long-studied failure of generative-adversarial training where the generator finds a small set of points that fool the discriminator and emits them repeatedly. Documented defenses include minibatch discrimination</w:t>
      </w:r>
      <w:r>
        <w:t xml:space="preserve"> </w:t>
      </w:r>
      <w:hyperlink w:anchor="ref-salimans">
        <w:r>
          <w:rPr>
            <w:rStyle w:val="Hyperlink"/>
          </w:rPr>
          <w:t xml:space="preserve">[2]</w:t>
        </w:r>
      </w:hyperlink>
      <w:r>
        <w:t xml:space="preserve">, unrolled GANs</w:t>
      </w:r>
      <w:r>
        <w:t xml:space="preserve"> </w:t>
      </w:r>
      <w:hyperlink w:anchor="ref-unrolled">
        <w:r>
          <w:rPr>
            <w:rStyle w:val="Hyperlink"/>
          </w:rPr>
          <w:t xml:space="preserve">[7]</w:t>
        </w:r>
      </w:hyperlink>
      <w:r>
        <w:t xml:space="preserve">, mode-seeking GAN</w:t>
      </w:r>
      <w:r>
        <w:t xml:space="preserve"> </w:t>
      </w:r>
      <w:hyperlink w:anchor="ref-msgan">
        <w:r>
          <w:rPr>
            <w:rStyle w:val="Hyperlink"/>
          </w:rPr>
          <w:t xml:space="preserve">[3]</w:t>
        </w:r>
      </w:hyperlink>
      <w:r>
        <w:t xml:space="preserve">, PacGAN</w:t>
      </w:r>
      <w:r>
        <w:t xml:space="preserve"> </w:t>
      </w:r>
      <w:hyperlink w:anchor="ref-pacgan">
        <w:r>
          <w:rPr>
            <w:rStyle w:val="Hyperlink"/>
          </w:rPr>
          <w:t xml:space="preserve">[1]</w:t>
        </w:r>
      </w:hyperlink>
      <w:r>
        <w:t xml:space="preserve">, and Wasserstein-style losses</w:t>
      </w:r>
      <w:r>
        <w:t xml:space="preserve"> </w:t>
      </w:r>
      <w:hyperlink w:anchor="ref-wgan">
        <w:r>
          <w:rPr>
            <w:rStyle w:val="Hyperlink"/>
          </w:rPr>
          <w:t xml:space="preserve">[8]</w:t>
        </w:r>
      </w:hyperlink>
      <w:r>
        <w:t xml:space="preserve">. Quantification of collapse uses FID</w:t>
      </w:r>
      <w:r>
        <w:t xml:space="preserve"> </w:t>
      </w:r>
      <w:hyperlink w:anchor="ref-fid">
        <w:r>
          <w:rPr>
            <w:rStyle w:val="Hyperlink"/>
          </w:rPr>
          <w:t xml:space="preserve">[22]</w:t>
        </w:r>
      </w:hyperlink>
      <w:r>
        <w:t xml:space="preserve">, precision and recall for distributions</w:t>
      </w:r>
      <w:r>
        <w:t xml:space="preserve"> </w:t>
      </w:r>
      <w:hyperlink w:anchor="ref-sajjadi">
        <w:r>
          <w:rPr>
            <w:rStyle w:val="Hyperlink"/>
          </w:rPr>
          <w:t xml:space="preserve">[23]</w:t>
        </w:r>
      </w:hyperlink>
      <w:r>
        <w:t xml:space="preserve">, and density/coverage</w:t>
      </w:r>
      <w:r>
        <w:t xml:space="preserve"> </w:t>
      </w:r>
      <w:hyperlink w:anchor="ref-naeem">
        <w:r>
          <w:rPr>
            <w:rStyle w:val="Hyperlink"/>
          </w:rPr>
          <w:t xml:space="preserve">[24]</w:t>
        </w:r>
      </w:hyperlink>
      <w:r>
        <w:t xml:space="preserve">. We adapt four of these defenses into a prompt-debugging setting where the generator's parameters are frozen and the optimized object is the prompt.</w:t>
      </w:r>
    </w:p>
    <w:bookmarkEnd w:id="17"/>
    <w:bookmarkStart w:id="18" w:name="mode-collapse-in-llm-outputs"/>
    <w:p>
      <w:pPr>
        <w:pStyle w:val="Heading3"/>
        <w:keepNext/>
        <w:keepLines/>
        <w:widowControl w:val="1"/>
      </w:pPr>
      <w:r>
        <w:t xml:space="preserve">2.6</w:t>
      </w:r>
      <w:r>
        <w:t xml:space="preserve"> </w:t>
      </w:r>
      <w:r>
        <w:t xml:space="preserve">Mode collapse in LLM outputs</w:t>
      </w:r>
    </w:p>
    <w:p>
      <w:pPr>
        <w:pStyle w:val="FirstParagraph"/>
        <w:jc w:val="both"/>
        <w:keepNext w:val="0"/>
        <w:keepLines w:val="0"/>
        <w:widowControl w:val="1"/>
      </w:pPr>
      <w:r>
        <w:t xml:space="preserve">Mode collapse has been documented for LLM outputs themselves, distinct from GAN-induced collapse. Verbalized Sampling</w:t>
      </w:r>
      <w:r>
        <w:t xml:space="preserve"> </w:t>
      </w:r>
      <w:hyperlink w:anchor="ref-verbsampling">
        <w:r>
          <w:rPr>
            <w:rStyle w:val="Hyperlink"/>
          </w:rPr>
          <w:t xml:space="preserve">[30]</w:t>
        </w:r>
      </w:hyperlink>
      <w:r>
        <w:t xml:space="preserve"> </w:t>
      </w:r>
      <w:r>
        <w:t xml:space="preserve">attributes the failure to "typicality bias in preference data" and proposes a training-free prompting recipe (asking the model to verbalize a probability distribution over responses) that recovers 1.6 to 2.1x more diversity on creative-writing tasks. NanoFlux</w:t>
      </w:r>
      <w:r>
        <w:t xml:space="preserve"> </w:t>
      </w:r>
      <w:hyperlink w:anchor="ref-nanoflux">
        <w:r>
          <w:rPr>
            <w:rStyle w:val="Hyperlink"/>
          </w:rPr>
          <w:t xml:space="preserve">[31]</w:t>
        </w:r>
      </w:hyperlink>
      <w:r>
        <w:t xml:space="preserve"> </w:t>
      </w:r>
      <w:r>
        <w:t xml:space="preserve">is the closest existing GAN-style framework for LLM data: it pairs an attacker LLM and a defender LLM under a tool-augmented judge to generate targeted training examples. Our work differs from NanoFlux in two ways: we use multiple critics rather than a single judge, and our adversaries are structural transfers from specific GAN defenses rather than free-form attackers.</w:t>
      </w:r>
    </w:p>
    <w:bookmarkEnd w:id="18"/>
    <w:bookmarkStart w:id="19" w:name="X6d6779a64fdbfdbe6d845bb19f4dc46eb87f272"/>
    <w:p>
      <w:pPr>
        <w:pStyle w:val="Heading3"/>
        <w:keepNext/>
        <w:keepLines/>
        <w:widowControl w:val="1"/>
      </w:pPr>
      <w:r>
        <w:t xml:space="preserve">2.7</w:t>
      </w:r>
      <w:r>
        <w:t xml:space="preserve"> </w:t>
      </w:r>
      <w:r>
        <w:t xml:space="preserve">Model collapse from training on synthetic data</w:t>
      </w:r>
    </w:p>
    <w:p>
      <w:pPr>
        <w:pStyle w:val="FirstParagraph"/>
        <w:jc w:val="both"/>
        <w:keepNext w:val="0"/>
        <w:keepLines w:val="0"/>
        <w:widowControl w:val="1"/>
      </w:pPr>
      <w:r>
        <w:t xml:space="preserve">A separate but related thread documents that training LLMs on synthetic data produced by earlier LLMs degrades the model distribution over generations. Strong Model Collapse</w:t>
      </w:r>
      <w:r>
        <w:t xml:space="preserve"> </w:t>
      </w:r>
      <w:hyperlink w:anchor="ref-strongcollapse">
        <w:r>
          <w:rPr>
            <w:rStyle w:val="Hyperlink"/>
          </w:rPr>
          <w:t xml:space="preserve">[32]</w:t>
        </w:r>
      </w:hyperlink>
      <w:r>
        <w:t xml:space="preserve"> </w:t>
      </w:r>
      <w:r>
        <w:t xml:space="preserve">proves the failure persists even with arbitrarily small synthetic fractions. Kazdan et al.'s analysis of Shumailov 2024</w:t>
      </w:r>
      <w:r>
        <w:t xml:space="preserve"> </w:t>
      </w:r>
      <w:hyperlink w:anchor="ref-shumalovnote">
        <w:r>
          <w:rPr>
            <w:rStyle w:val="Hyperlink"/>
          </w:rPr>
          <w:t xml:space="preserve">[33]</w:t>
        </w:r>
      </w:hyperlink>
      <w:r>
        <w:t xml:space="preserve"> </w:t>
      </w:r>
      <w:r>
        <w:t xml:space="preserve">shows that the magnitude is sensitive to data-mixing strategy, and that accumulating (rather than replacing) real data prevents the collapse. Synthetic Eggs in Many Baskets</w:t>
      </w:r>
      <w:r>
        <w:t xml:space="preserve"> </w:t>
      </w:r>
      <w:hyperlink w:anchor="ref-syntheggs">
        <w:r>
          <w:rPr>
            <w:rStyle w:val="Hyperlink"/>
          </w:rPr>
          <w:t xml:space="preserve">[34]</w:t>
        </w:r>
      </w:hyperlink>
      <w:r>
        <w:t xml:space="preserve"> </w:t>
      </w:r>
      <w:r>
        <w:t xml:space="preserve">empirically connects synthetic-data diversity to downstream fine-tuning performance, showing that more diverse synthetic sources measurably mitigate collapse. Machine-generated text detection as a pipeline filter</w:t>
      </w:r>
      <w:r>
        <w:t xml:space="preserve"> </w:t>
      </w:r>
      <w:hyperlink w:anchor="ref-mgtfilter">
        <w:r>
          <w:rPr>
            <w:rStyle w:val="Hyperlink"/>
          </w:rPr>
          <w:t xml:space="preserve">[35]</w:t>
        </w:r>
      </w:hyperlink>
      <w:r>
        <w:t xml:space="preserve"> </w:t>
      </w:r>
      <w:r>
        <w:t xml:space="preserve">is another defense thread that connects to our Coverage Hole Finder's density-ratio classifier.</w:t>
      </w:r>
    </w:p>
    <w:bookmarkEnd w:id="19"/>
    <w:bookmarkStart w:id="20" w:name="X1b70c4aae08c3448ecd744f80bb0f5e0deafab1"/>
    <w:p>
      <w:pPr>
        <w:pStyle w:val="Heading3"/>
        <w:keepNext/>
        <w:keepLines/>
        <w:widowControl w:val="1"/>
      </w:pPr>
      <w:r>
        <w:t xml:space="preserve">2.8</w:t>
      </w:r>
      <w:r>
        <w:t xml:space="preserve"> </w:t>
      </w:r>
      <w:r>
        <w:t xml:space="preserve">Density-ratio estimation for synthetic-data quality</w:t>
      </w:r>
    </w:p>
    <w:p>
      <w:pPr>
        <w:pStyle w:val="FirstParagraph"/>
        <w:jc w:val="both"/>
        <w:keepNext w:val="0"/>
        <w:keepLines w:val="0"/>
        <w:widowControl w:val="1"/>
      </w:pPr>
      <w:r>
        <w:t xml:space="preserve">Density ratio estimation</w:t>
      </w:r>
      <w:r>
        <w:t xml:space="preserve"> </w:t>
      </w:r>
      <w:hyperlink w:anchor="ref-densityratio">
        <w:r>
          <w:rPr>
            <w:rStyle w:val="Hyperlink"/>
          </w:rPr>
          <w:t xml:space="preserve">[9]</w:t>
        </w:r>
      </w:hyperlink>
      <w:r>
        <w:t xml:space="preserve"> </w:t>
      </w:r>
      <w:r>
        <w:t xml:space="preserve">recovers</w:t>
      </w:r>
      <w:r>
        <w:t xml:space="preserve"> </w:t>
      </w:r>
      <m:oMath>
        <m:sSub>
          <m:e>
            <m:r>
              <m:t>p</m:t>
            </m:r>
          </m:e>
          <m:sub>
            <m:r>
              <m:rPr>
                <m:nor/>
                <m:sty m:val="p"/>
              </m:rPr>
              <m:t>real</m:t>
            </m:r>
          </m:sub>
        </m:sSub>
        <m:r>
          <m:rPr>
            <m:sty m:val="p"/>
          </m:rPr>
          <m:t>(</m:t>
        </m:r>
        <m:r>
          <m:t>x</m:t>
        </m:r>
        <m:r>
          <m:rPr>
            <m:sty m:val="p"/>
          </m:rPr>
          <m:t>)</m:t>
        </m:r>
        <m:r>
          <m:rPr>
            <m:sty m:val="p"/>
          </m:rPr>
          <m:t>/</m:t>
        </m:r>
        <m:r>
          <m:rPr>
            <m:sty m:val="p"/>
          </m:rPr>
          <m:t>(</m:t>
        </m:r>
        <m:sSub>
          <m:e>
            <m:r>
              <m:t>p</m:t>
            </m:r>
          </m:e>
          <m:sub>
            <m:r>
              <m:rPr>
                <m:nor/>
                <m:sty m:val="p"/>
              </m:rPr>
              <m:t>real</m:t>
            </m:r>
          </m:sub>
        </m:sSub>
        <m:r>
          <m:rPr>
            <m:sty m:val="p"/>
          </m:rPr>
          <m:t>(</m:t>
        </m:r>
        <m:r>
          <m:t>x</m:t>
        </m:r>
        <m:r>
          <m:rPr>
            <m:sty m:val="p"/>
          </m:rPr>
          <m:t>)</m:t>
        </m:r>
        <m:r>
          <m:rPr>
            <m:sty m:val="p"/>
          </m:rPr>
          <m:t>+</m:t>
        </m:r>
        <m:sSub>
          <m:e>
            <m:r>
              <m:t>p</m:t>
            </m:r>
          </m:e>
          <m:sub>
            <m:r>
              <m:rPr>
                <m:nor/>
                <m:sty m:val="p"/>
              </m:rPr>
              <m:t>synth</m:t>
            </m:r>
          </m:sub>
        </m:sSub>
        <m:r>
          <m:rPr>
            <m:sty m:val="p"/>
          </m:rPr>
          <m:t>(</m:t>
        </m:r>
        <m:r>
          <m:t>x</m:t>
        </m:r>
        <m:r>
          <m:rPr>
            <m:sty m:val="p"/>
          </m:rPr>
          <m:t>)</m:t>
        </m:r>
        <m:r>
          <m:rPr>
            <m:sty m:val="p"/>
          </m:rPr>
          <m:t>)</m:t>
        </m:r>
      </m:oMath>
      <w:r>
        <w:t xml:space="preserve"> </w:t>
      </w:r>
      <w:r>
        <w:t xml:space="preserve">with a binary classifier; we use it in Section 5.4 to surface real exemplars the synthetic distribution fails to cover and inject them as few-shot anchors. An ICLR 2025 SynthData-workshop paper</w:t>
      </w:r>
      <w:r>
        <w:t xml:space="preserve"> </w:t>
      </w:r>
      <w:hyperlink w:anchor="ref-improveddre">
        <w:r>
          <w:rPr>
            <w:rStyle w:val="Hyperlink"/>
          </w:rPr>
          <w:t xml:space="preserve">[36]</w:t>
        </w:r>
      </w:hyperlink>
      <w:r>
        <w:t xml:space="preserve"> </w:t>
      </w:r>
      <w:r>
        <w:t xml:space="preserve">aggregates multiple density-ratio estimators with diverse hyperparameter settings to produce global and local quality scores, providing a direct technical antecedent for our Coverage Hole Finder.</w:t>
      </w:r>
    </w:p>
    <w:bookmarkEnd w:id="20"/>
    <w:bookmarkStart w:id="21" w:name="X29bd07b1d5fba0b62db77a692e29eff27427aa8"/>
    <w:p>
      <w:pPr>
        <w:pStyle w:val="Heading3"/>
        <w:keepNext/>
        <w:keepLines/>
        <w:widowControl w:val="1"/>
      </w:pPr>
      <w:r>
        <w:t xml:space="preserve">2.9</w:t>
      </w:r>
      <w:r>
        <w:t xml:space="preserve"> </w:t>
      </w:r>
      <w:r>
        <w:t xml:space="preserve">Embedding-based diversity metrics for text</w:t>
      </w:r>
    </w:p>
    <w:p>
      <w:pPr>
        <w:pStyle w:val="FirstParagraph"/>
        <w:jc w:val="both"/>
        <w:keepNext w:val="0"/>
        <w:keepLines w:val="0"/>
        <w:widowControl w:val="1"/>
      </w:pPr>
      <w:r>
        <w:t xml:space="preserve">The Scendi Score</w:t>
      </w:r>
      <w:r>
        <w:t xml:space="preserve"> </w:t>
      </w:r>
      <w:hyperlink w:anchor="ref-scendi">
        <w:r>
          <w:rPr>
            <w:rStyle w:val="Hyperlink"/>
          </w:rPr>
          <w:t xml:space="preserve">[37]</w:t>
        </w:r>
      </w:hyperlink>
      <w:r>
        <w:t xml:space="preserve"> </w:t>
      </w:r>
      <w:r>
        <w:t xml:space="preserve">decomposes embedding-based diversity into prompt-driven and intrinsic-model components via a Schur-complement decomposition of CLIP-embedding kernels; this is the closest 2024 alternative to distinct-n and FID for text diversity. The conditional Vendi score</w:t>
      </w:r>
      <w:r>
        <w:t xml:space="preserve"> </w:t>
      </w:r>
      <w:hyperlink w:anchor="ref-condvendi">
        <w:r>
          <w:rPr>
            <w:rStyle w:val="Hyperlink"/>
          </w:rPr>
          <w:t xml:space="preserve">[44]</w:t>
        </w:r>
      </w:hyperlink>
      <w:r>
        <w:t xml:space="preserve"> </w:t>
      </w:r>
      <w:r>
        <w:t xml:space="preserve">formalizes the same decomposition information-theoretically as</w:t>
      </w:r>
      <w:r>
        <w:t xml:space="preserve"> </w:t>
      </w:r>
      <m:oMath>
        <m:r>
          <m:t>H</m:t>
        </m:r>
        <m:r>
          <m:rPr>
            <m:sty m:val="p"/>
          </m:rPr>
          <m:t>(</m:t>
        </m:r>
        <m:r>
          <m:t>X</m:t>
        </m:r>
        <m:r>
          <m:rPr>
            <m:sty m:val="p"/>
          </m:rPr>
          <m:t>)</m:t>
        </m:r>
        <m:r>
          <m:rPr>
            <m:sty m:val="p"/>
          </m:rPr>
          <m:t>=</m:t>
        </m:r>
        <m:r>
          <m:t>H</m:t>
        </m:r>
        <m:r>
          <m:rPr>
            <m:sty m:val="p"/>
          </m:rPr>
          <m:t>(</m:t>
        </m:r>
        <m:r>
          <m:t>X</m:t>
        </m:r>
        <m:r>
          <m:rPr>
            <m:sty m:val="p"/>
          </m:rPr>
          <m:t>|</m:t>
        </m:r>
        <m:r>
          <m:t>T</m:t>
        </m:r>
        <m:r>
          <m:rPr>
            <m:sty m:val="p"/>
          </m:rPr>
          <m:t>)</m:t>
        </m:r>
        <m:r>
          <m:rPr>
            <m:sty m:val="p"/>
          </m:rPr>
          <m:t>+</m:t>
        </m:r>
        <m:r>
          <m:t>I</m:t>
        </m:r>
        <m:r>
          <m:rPr>
            <m:sty m:val="p"/>
          </m:rPr>
          <m:t>(</m:t>
        </m:r>
        <m:r>
          <m:t>X</m:t>
        </m:r>
        <m:r>
          <m:rPr>
            <m:sty m:val="p"/>
          </m:rPr>
          <m:t>;</m:t>
        </m:r>
        <m:r>
          <m:t>T</m:t>
        </m:r>
        <m:r>
          <m:rPr>
            <m:sty m:val="p"/>
          </m:rPr>
          <m:t>)</m:t>
        </m:r>
      </m:oMath>
      <w:r>
        <w:t xml:space="preserve">, separating model-intrinsic diversity from prompt-driven diversity. We use a Scendi-style Schur-complement decomposition (Section 7.2) and find that the</w:t>
      </w:r>
      <w:r>
        <w:t xml:space="preserve"> </w:t>
      </w:r>
      <m:oMath>
        <m:r>
          <m:t>2</m:t>
        </m:r>
        <m:r>
          <m:rPr>
            <m:sty m:val="p"/>
          </m:rPr>
          <m:t>×</m:t>
        </m:r>
      </m:oMath>
      <w:r>
        <w:t xml:space="preserve"> </w:t>
      </w:r>
      <w:r>
        <w:t xml:space="preserve">iterated-vs-non-iterated Vendi gain is approximately fully intrinsic-model-driven (the prompt-residual is near zero), which is the kind of mechanistic claim the Ospanov et al. formalization makes precise. Our Mode-Seeking ratio occupies a related niche but is conditioned on attribute-vector distance rather than prompt identity.</w:t>
      </w:r>
    </w:p>
    <w:bookmarkEnd w:id="21"/>
    <w:bookmarkStart w:id="22" w:name="X3f3276deaf719b9496d4b4d012c7c9f203d7d1b"/>
    <w:p>
      <w:pPr>
        <w:pStyle w:val="Heading3"/>
        <w:keepNext/>
        <w:keepLines/>
        <w:widowControl w:val="1"/>
      </w:pPr>
      <w:r>
        <w:t xml:space="preserve">2.10</w:t>
      </w:r>
      <w:r>
        <w:t xml:space="preserve"> </w:t>
      </w:r>
      <w:r>
        <w:t xml:space="preserve">Annotation-free synthetic-data evaluation and structural surveys</w:t>
      </w:r>
    </w:p>
    <w:p>
      <w:pPr>
        <w:pStyle w:val="FirstParagraph"/>
        <w:jc w:val="both"/>
        <w:keepNext w:val="0"/>
        <w:keepLines w:val="0"/>
        <w:widowControl w:val="1"/>
      </w:pPr>
      <w:r>
        <w:t xml:space="preserve">Two evaluation-side lines inform our protocol. SynQuE</w:t>
      </w:r>
      <w:r>
        <w:t xml:space="preserve"> </w:t>
      </w:r>
      <w:hyperlink w:anchor="ref-synque">
        <w:r>
          <w:rPr>
            <w:rStyle w:val="Hyperlink"/>
          </w:rPr>
          <w:t xml:space="preserve">[47]</w:t>
        </w:r>
      </w:hyperlink>
      <w:r>
        <w:t xml:space="preserve"> </w:t>
      </w:r>
      <w:r>
        <w:t xml:space="preserve">proposes annotation-free quality estimators (Mean Distance to Medoid, MMD, Proxy-A-Distance, LLM-evaluated Lens) and reports Spearman correlation</w:t>
      </w:r>
      <w:r>
        <w:t xml:space="preserve"> </w:t>
      </w:r>
      <m:oMath>
        <m:r>
          <m:t>0.38</m:t>
        </m:r>
      </m:oMath>
      <w:r>
        <w:t xml:space="preserve"> </w:t>
      </w:r>
      <w:r>
        <w:t xml:space="preserve">to</w:t>
      </w:r>
      <w:r>
        <w:t xml:space="preserve"> </w:t>
      </w:r>
      <m:oMath>
        <m:r>
          <m:t>0.68</m:t>
        </m:r>
      </m:oMath>
      <w:r>
        <w:t xml:space="preserve"> </w:t>
      </w:r>
      <w:r>
        <w:t xml:space="preserve">with downstream classifier performance across a</w:t>
      </w:r>
      <w:r>
        <w:t xml:space="preserve"> </w:t>
      </w:r>
      <m:oMath>
        <m:r>
          <m:t>32</m:t>
        </m:r>
      </m:oMath>
      <w:r>
        <w:t xml:space="preserve">-dataset sentiment suite, complementing our supervised macro / worst-class F1 protocol. The QDC framework of Havrilla et al.</w:t>
      </w:r>
      <w:r>
        <w:t xml:space="preserve"> </w:t>
      </w:r>
      <w:hyperlink w:anchor="ref-qdc">
        <w:r>
          <w:rPr>
            <w:rStyle w:val="Hyperlink"/>
          </w:rPr>
          <w:t xml:space="preserve">[48]</w:t>
        </w:r>
      </w:hyperlink>
      <w:r>
        <w:t xml:space="preserve"> </w:t>
      </w:r>
      <w:r>
        <w:t xml:space="preserve">argues that Quality drives in-distribution generalization, Diversity drives OOD generalization, and Complexity helps both; our seven critics map onto this decomposition (the verifier and realism discriminator on the Q axis, the diversity auditor and four GAN-style adversaries on the D axis).</w:t>
      </w:r>
    </w:p>
    <w:bookmarkEnd w:id="22"/>
    <w:bookmarkEnd w:id="23"/>
    <w:bookmarkStart w:id="24" w:name="sec-problem"/>
    <w:p>
      <w:pPr>
        <w:pStyle w:val="Heading2"/>
        <w:keepNext/>
        <w:keepLines/>
        <w:widowControl w:val="1"/>
      </w:pPr>
      <w:r>
        <w:t xml:space="preserve">3</w:t>
      </w:r>
      <w:r>
        <w:t xml:space="preserve"> </w:t>
      </w:r>
      <w:r>
        <w:t xml:space="preserve">Problem formulation</w:t>
      </w:r>
    </w:p>
    <w:p>
      <w:pPr>
        <w:pStyle w:val="FirstParagraph"/>
        <w:jc w:val="both"/>
        <w:keepNext w:val="0"/>
        <w:keepLines w:val="0"/>
        <w:widowControl w:val="1"/>
      </w:pPr>
      <w:r>
        <w:t xml:space="preserve">Given the inputs:</w:t>
      </w:r>
    </w:p>
    <w:p>
      <w:pPr>
        <w:pStyle w:val="Compact"/>
        <w:numPr>
          <w:ilvl w:val="0"/>
          <w:numId w:val="1001"/>
        </w:numPr>
        <w:ind w:left="360" w:hanging="259"/>
        <w:jc w:val="both"/>
        <w:keepNext w:val="0"/>
        <w:keepLines w:val="0"/>
        <w:widowControl w:val="1"/>
      </w:pPr>
      <w:r>
        <w:t xml:space="preserve">a small real example set</w:t>
      </w:r>
      <w:r>
        <w:t xml:space="preserve"> </w:t>
      </w:r>
      <m:oMath>
        <m:r>
          <m:t>R</m:t>
        </m:r>
        <m:r>
          <m:rPr>
            <m:sty m:val="p"/>
          </m:rPr>
          <m:t>=</m:t>
        </m:r>
        <m:r>
          <m:rPr>
            <m:sty m:val="p"/>
          </m:rPr>
          <m:t>{</m:t>
        </m:r>
        <m:sSubSup>
          <m:e>
            <m:r>
              <m:t>x</m:t>
            </m:r>
          </m:e>
          <m:sub>
            <m:r>
              <m:t>i</m:t>
            </m:r>
          </m:sub>
          <m:sup>
            <m:r>
              <m:t>r</m:t>
            </m:r>
          </m:sup>
        </m:sSubSup>
        <m:sSubSup>
          <m:e>
            <m:r>
              <m:rPr>
                <m:sty m:val="p"/>
              </m:rPr>
              <m:t>}</m:t>
            </m:r>
          </m:e>
          <m:sub>
            <m:r>
              <m:t>i</m:t>
            </m:r>
            <m:r>
              <m:rPr>
                <m:sty m:val="p"/>
              </m:rPr>
              <m:t>=</m:t>
            </m:r>
            <m:r>
              <m:t>1</m:t>
            </m:r>
          </m:sub>
          <m:sup>
            <m:sSub>
              <m:e>
                <m:r>
                  <m:t>N</m:t>
                </m:r>
              </m:e>
              <m:sub>
                <m:r>
                  <m:t>r</m:t>
                </m:r>
              </m:sub>
            </m:sSub>
          </m:sup>
        </m:sSubSup>
      </m:oMath>
      <w:r>
        <w:t xml:space="preserve"> </w:t>
      </w:r>
      <w:r>
        <w:t xml:space="preserve">(</w:t>
      </w:r>
      <m:oMath>
        <m:sSub>
          <m:e>
            <m:r>
              <m:t>N</m:t>
            </m:r>
          </m:e>
          <m:sub>
            <m:r>
              <m:t>r</m:t>
            </m:r>
          </m:sub>
        </m:sSub>
        <m:r>
          <m:rPr>
            <m:sty m:val="p"/>
          </m:rPr>
          <m:t>=</m:t>
        </m:r>
        <m:r>
          <m:t>40</m:t>
        </m:r>
      </m:oMath>
      <w:r>
        <w:t xml:space="preserve"> </w:t>
      </w:r>
      <w:r>
        <w:t xml:space="preserve">in our experiments, 30 train and 10 held out for downstream evaluation),</w:t>
      </w:r>
    </w:p>
    <w:p>
      <w:pPr>
        <w:pStyle w:val="Compact"/>
        <w:numPr>
          <w:ilvl w:val="0"/>
          <w:numId w:val="1001"/>
        </w:numPr>
        <w:ind w:left="360" w:hanging="259"/>
        <w:jc w:val="both"/>
        <w:keepNext w:val="0"/>
        <w:keepLines w:val="0"/>
        <w:widowControl w:val="1"/>
      </w:pPr>
      <w:r>
        <w:t xml:space="preserve">an attribute schema</w:t>
      </w:r>
      <w:r>
        <w:t xml:space="preserve"> </w:t>
      </w:r>
      <m:oMath>
        <m:r>
          <m:rPr>
            <m:scr m:val="script"/>
            <m:sty m:val="p"/>
          </m:rPr>
          <m:t>A</m:t>
        </m:r>
        <m:r>
          <m:rPr>
            <m:sty m:val="p"/>
          </m:rPr>
          <m:t>=</m:t>
        </m:r>
        <m:r>
          <m:rPr>
            <m:sty m:val="p"/>
          </m:rPr>
          <m:t>(</m:t>
        </m:r>
        <m:sSub>
          <m:e>
            <m:r>
              <m:t>a</m:t>
            </m:r>
          </m:e>
          <m:sub>
            <m:r>
              <m:t>1</m:t>
            </m:r>
          </m:sub>
        </m:sSub>
        <m:r>
          <m:rPr>
            <m:sty m:val="p"/>
          </m:rPr>
          <m:t>,</m:t>
        </m:r>
        <m:r>
          <m:rPr>
            <m:sty m:val="p"/>
          </m:rPr>
          <m:t>…</m:t>
        </m:r>
        <m:r>
          <m:rPr>
            <m:sty m:val="p"/>
          </m:rPr>
          <m:t>,</m:t>
        </m:r>
        <m:sSub>
          <m:e>
            <m:r>
              <m:t>a</m:t>
            </m:r>
          </m:e>
          <m:sub>
            <m:r>
              <m:t>K</m:t>
            </m:r>
          </m:sub>
        </m:sSub>
        <m:r>
          <m:rPr>
            <m:sty m:val="p"/>
          </m:rPr>
          <m:t>)</m:t>
        </m:r>
      </m:oMath>
      <w:r>
        <w:t xml:space="preserve"> </w:t>
      </w:r>
      <w:r>
        <w:t xml:space="preserve">where each</w:t>
      </w:r>
      <w:r>
        <w:t xml:space="preserve"> </w:t>
      </w:r>
      <m:oMath>
        <m:sSub>
          <m:e>
            <m:r>
              <m:t>a</m:t>
            </m:r>
          </m:e>
          <m:sub>
            <m:r>
              <m:t>k</m:t>
            </m:r>
          </m:sub>
        </m:sSub>
      </m:oMath>
      <w:r>
        <w:t xml:space="preserve"> </w:t>
      </w:r>
      <w:r>
        <w:t xml:space="preserve">has a discrete value set</w:t>
      </w:r>
      <w:r>
        <w:t xml:space="preserve"> </w:t>
      </w:r>
      <m:oMath>
        <m:sSub>
          <m:e>
            <m:r>
              <m:t>V</m:t>
            </m:r>
          </m:e>
          <m:sub>
            <m:r>
              <m:t>k</m:t>
            </m:r>
          </m:sub>
        </m:sSub>
      </m:oMath>
      <w:r>
        <w:t xml:space="preserve">, and a set of invalid combinations</w:t>
      </w:r>
      <w:r>
        <w:t xml:space="preserve"> </w:t>
      </w:r>
      <m:oMath>
        <m:r>
          <m:rPr>
            <m:scr m:val="script"/>
            <m:sty m:val="p"/>
          </m:rPr>
          <m:t>C</m:t>
        </m:r>
      </m:oMath>
      <w:r>
        <w:t xml:space="preserve">,</w:t>
      </w:r>
    </w:p>
    <w:p>
      <w:pPr>
        <w:pStyle w:val="Compact"/>
        <w:numPr>
          <w:ilvl w:val="0"/>
          <w:numId w:val="1001"/>
        </w:numPr>
        <w:ind w:left="360" w:hanging="259"/>
        <w:jc w:val="both"/>
        <w:keepNext w:val="0"/>
        <w:keepLines w:val="0"/>
        <w:widowControl w:val="1"/>
      </w:pPr>
      <w:r>
        <w:t xml:space="preserve">an initial generation prompt</w:t>
      </w:r>
      <w:r>
        <w:t xml:space="preserve"> </w:t>
      </w:r>
      <m:oMath>
        <m:sSub>
          <m:e>
            <m:r>
              <m:t>P</m:t>
            </m:r>
          </m:e>
          <m:sub>
            <m:r>
              <m:t>0</m:t>
            </m:r>
          </m:sub>
        </m:sSub>
      </m:oMath>
      <w:r>
        <w:t xml:space="preserve">,</w:t>
      </w:r>
    </w:p>
    <w:p>
      <w:pPr>
        <w:pStyle w:val="Compact"/>
        <w:numPr>
          <w:ilvl w:val="0"/>
          <w:numId w:val="1001"/>
        </w:numPr>
        <w:ind w:left="360" w:hanging="259"/>
        <w:jc w:val="both"/>
        <w:keepNext w:val="0"/>
        <w:keepLines w:val="0"/>
        <w:widowControl w:val="1"/>
      </w:pPr>
      <w:r>
        <w:t xml:space="preserve">a generator LLM</w:t>
      </w:r>
      <w:r>
        <w:t xml:space="preserve"> </w:t>
      </w:r>
      <m:oMath>
        <m:r>
          <m:t>G</m:t>
        </m:r>
      </m:oMath>
      <w:r>
        <w:t xml:space="preserve">,</w:t>
      </w:r>
    </w:p>
    <w:p>
      <w:pPr>
        <w:pStyle w:val="Compact"/>
        <w:numPr>
          <w:ilvl w:val="0"/>
          <w:numId w:val="1001"/>
        </w:numPr>
        <w:ind w:left="360" w:hanging="259"/>
        <w:jc w:val="both"/>
        <w:keepNext w:val="0"/>
        <w:keepLines w:val="0"/>
        <w:widowControl w:val="1"/>
      </w:pPr>
      <w:r>
        <w:t xml:space="preserve">a set of LLM-based critics</w:t>
      </w:r>
      <w:r>
        <w:t xml:space="preserve"> </w:t>
      </w:r>
      <m:oMath>
        <m:r>
          <m:rPr>
            <m:sty m:val="p"/>
          </m:rPr>
          <m:t>{</m:t>
        </m:r>
        <m:r>
          <m:t>V</m:t>
        </m:r>
        <m:r>
          <m:rPr>
            <m:sty m:val="p"/>
          </m:rPr>
          <m:t>,</m:t>
        </m:r>
        <m:r>
          <m:t>D</m:t>
        </m:r>
        <m:r>
          <m:rPr>
            <m:sty m:val="p"/>
          </m:rPr>
          <m:t>,</m:t>
        </m:r>
        <m:r>
          <m:t>C</m:t>
        </m:r>
        <m:r>
          <m:rPr>
            <m:sty m:val="p"/>
          </m:rPr>
          <m:t>}</m:t>
        </m:r>
      </m:oMath>
      <w:r>
        <w:t xml:space="preserve"> </w:t>
      </w:r>
      <w:r>
        <w:t xml:space="preserve">and a prompt updater</w:t>
      </w:r>
      <w:r>
        <w:t xml:space="preserve"> </w:t>
      </w:r>
      <m:oMath>
        <m:r>
          <m:t>U</m:t>
        </m:r>
      </m:oMath>
      <w:r>
        <w:t xml:space="preserve">.</w:t>
      </w:r>
    </w:p>
    <w:p>
      <w:pPr>
        <w:pStyle w:val="FirstParagraph"/>
        <w:jc w:val="both"/>
        <w:keepNext w:val="0"/>
        <w:keepLines w:val="0"/>
        <w:widowControl w:val="1"/>
      </w:pPr>
      <w:r>
        <w:t xml:space="preserve">At round</w:t>
      </w:r>
      <w:r>
        <w:t xml:space="preserve"> </w:t>
      </w:r>
      <m:oMath>
        <m:r>
          <m:t>t</m:t>
        </m:r>
      </m:oMath>
      <w:r>
        <w:t xml:space="preserve"> </w:t>
      </w:r>
      <w:r>
        <w:t xml:space="preserve">the system selects target attribute vectors</w:t>
      </w:r>
      <w:r>
        <w:t xml:space="preserve"> </w:t>
      </w:r>
      <m:oMath>
        <m:sSub>
          <m:e>
            <m:r>
              <m:rPr>
                <m:sty m:val="bi"/>
              </m:rPr>
              <m:t>z</m:t>
            </m:r>
          </m:e>
          <m:sub>
            <m:r>
              <m:t>t</m:t>
            </m:r>
          </m:sub>
        </m:sSub>
        <m:r>
          <m:rPr>
            <m:sty m:val="p"/>
          </m:rPr>
          <m:t>∈</m:t>
        </m:r>
        <m:nary>
          <m:naryPr>
            <m:chr m:val="∏"/>
            <m:limLoc m:val="undOvr"/>
            <m:subHide m:val="off"/>
            <m:supHide m:val="on"/>
          </m:naryPr>
          <m:sub>
            <m:r>
              <m:t>k</m:t>
            </m:r>
          </m:sub>
          <m:sup>
            <m:r>
              <m:t>​</m:t>
            </m:r>
          </m:sup>
          <m:e>
            <m:sSub>
              <m:e>
                <m:r>
                  <m:t>V</m:t>
                </m:r>
              </m:e>
              <m:sub>
                <m:r>
                  <m:t>k</m:t>
                </m:r>
              </m:sub>
            </m:sSub>
          </m:e>
        </m:nary>
      </m:oMath>
      <w:r>
        <w:t xml:space="preserve">, generates samples</w:t>
      </w:r>
      <w:r>
        <w:t xml:space="preserve"> </w:t>
      </w:r>
      <m:oMath>
        <m:sSub>
          <m:e>
            <m:r>
              <m:t>S</m:t>
            </m:r>
          </m:e>
          <m:sub>
            <m:r>
              <m:t>t</m:t>
            </m:r>
          </m:sub>
        </m:sSub>
        <m:r>
          <m:rPr>
            <m:sty m:val="p"/>
          </m:rPr>
          <m:t>=</m:t>
        </m:r>
        <m:r>
          <m:t>G</m:t>
        </m:r>
        <m:r>
          <m:rPr>
            <m:sty m:val="p"/>
          </m:rPr>
          <m:t>(</m:t>
        </m:r>
        <m:sSub>
          <m:e>
            <m:r>
              <m:t>P</m:t>
            </m:r>
          </m:e>
          <m:sub>
            <m:r>
              <m:t>t</m:t>
            </m:r>
          </m:sub>
        </m:sSub>
        <m:r>
          <m:rPr>
            <m:sty m:val="p"/>
          </m:rPr>
          <m:t>,</m:t>
        </m:r>
        <m:sSub>
          <m:e>
            <m:r>
              <m:rPr>
                <m:sty m:val="bi"/>
              </m:rPr>
              <m:t>z</m:t>
            </m:r>
          </m:e>
          <m:sub>
            <m:r>
              <m:t>t</m:t>
            </m:r>
          </m:sub>
        </m:sSub>
        <m:r>
          <m:rPr>
            <m:sty m:val="p"/>
          </m:rPr>
          <m:t>)</m:t>
        </m:r>
      </m:oMath>
      <w:r>
        <w:t xml:space="preserve">, runs the critics, and updates the prompt:</w:t>
      </w:r>
    </w:p>
    <w:p>
      <w:pPr>
        <w:pStyle w:val="BodyText"/>
      </w:pPr>
      <m:oMathPara>
        <m:oMathParaPr>
          <m:jc m:val="center"/>
        </m:oMathParaPr>
        <m:oMath>
          <m:sSub>
            <m:e>
              <m:r>
                <m:t>P</m:t>
              </m:r>
            </m:e>
            <m:sub>
              <m:r>
                <m:t>t</m:t>
              </m:r>
              <m:r>
                <m:rPr>
                  <m:sty m:val="p"/>
                </m:rPr>
                <m:t>+</m:t>
              </m:r>
              <m:r>
                <m:t>1</m:t>
              </m:r>
            </m:sub>
          </m:sSub>
          <m:r>
            <m:t> </m:t>
          </m:r>
          <m:r>
            <m:rPr>
              <m:sty m:val="p"/>
            </m:rPr>
            <m:t>=</m:t>
          </m:r>
          <m:r>
            <m:t> </m:t>
          </m:r>
          <m:r>
            <m:t>U</m:t>
          </m:r>
          <m:d>
            <m:dPr>
              <m:begChr m:val="("/>
              <m:sepChr m:val=""/>
              <m:endChr m:val=")"/>
              <m:grow/>
            </m:dPr>
            <m:e>
              <m:sSub>
                <m:e>
                  <m:r>
                    <m:t>P</m:t>
                  </m:r>
                </m:e>
                <m:sub>
                  <m:r>
                    <m:t>t</m:t>
                  </m:r>
                </m:sub>
              </m:sSub>
              <m:r>
                <m:rPr>
                  <m:sty m:val="p"/>
                </m:rPr>
                <m:t>,</m:t>
              </m:r>
              <m:r>
                <m:t> </m:t>
              </m:r>
              <m:r>
                <m:t>V</m:t>
              </m:r>
              <m:r>
                <m:rPr>
                  <m:sty m:val="p"/>
                </m:rPr>
                <m:t>(</m:t>
              </m:r>
              <m:sSub>
                <m:e>
                  <m:r>
                    <m:t>S</m:t>
                  </m:r>
                </m:e>
                <m:sub>
                  <m:r>
                    <m:t>t</m:t>
                  </m:r>
                </m:sub>
              </m:sSub>
              <m:r>
                <m:rPr>
                  <m:sty m:val="p"/>
                </m:rPr>
                <m:t>,</m:t>
              </m:r>
              <m:sSub>
                <m:e>
                  <m:r>
                    <m:rPr>
                      <m:sty m:val="bi"/>
                    </m:rPr>
                    <m:t>z</m:t>
                  </m:r>
                </m:e>
                <m:sub>
                  <m:r>
                    <m:t>t</m:t>
                  </m:r>
                </m:sub>
              </m:sSub>
              <m:r>
                <m:rPr>
                  <m:sty m:val="p"/>
                </m:rPr>
                <m:t>)</m:t>
              </m:r>
              <m:r>
                <m:rPr>
                  <m:sty m:val="p"/>
                </m:rPr>
                <m:t>,</m:t>
              </m:r>
              <m:r>
                <m:t> </m:t>
              </m:r>
              <m:r>
                <m:t>D</m:t>
              </m:r>
              <m:r>
                <m:rPr>
                  <m:sty m:val="p"/>
                </m:rPr>
                <m:t>(</m:t>
              </m:r>
              <m:r>
                <m:t>R</m:t>
              </m:r>
              <m:r>
                <m:rPr>
                  <m:sty m:val="p"/>
                </m:rPr>
                <m:t>∪</m:t>
              </m:r>
              <m:sSub>
                <m:e>
                  <m:r>
                    <m:t>S</m:t>
                  </m:r>
                </m:e>
                <m:sub>
                  <m:r>
                    <m:t>t</m:t>
                  </m:r>
                </m:sub>
              </m:sSub>
              <m:r>
                <m:rPr>
                  <m:sty m:val="p"/>
                </m:rPr>
                <m:t>)</m:t>
              </m:r>
              <m:r>
                <m:rPr>
                  <m:sty m:val="p"/>
                </m:rPr>
                <m:t>,</m:t>
              </m:r>
              <m:r>
                <m:t> </m:t>
              </m:r>
              <m:r>
                <m:t>C</m:t>
              </m:r>
              <m:r>
                <m:rPr>
                  <m:sty m:val="p"/>
                </m:rPr>
                <m:t>(</m:t>
              </m:r>
              <m:sSub>
                <m:e>
                  <m:r>
                    <m:t>S</m:t>
                  </m:r>
                </m:e>
                <m:sub>
                  <m:r>
                    <m:t>t</m:t>
                  </m:r>
                </m:sub>
              </m:sSub>
              <m:r>
                <m:rPr>
                  <m:sty m:val="p"/>
                </m:rPr>
                <m:t>)</m:t>
              </m:r>
            </m:e>
          </m:d>
          <m:r>
            <m:rPr>
              <m:sty m:val="p"/>
            </m:rPr>
            <m:t>.</m:t>
          </m:r>
        </m:oMath>
      </m:oMathPara>
    </w:p>
    <w:p>
      <w:pPr>
        <w:pStyle w:val="FirstParagraph"/>
        <w:jc w:val="both"/>
        <w:keepNext w:val="0"/>
        <w:keepLines w:val="0"/>
        <w:widowControl w:val="1"/>
      </w:pPr>
      <w:r>
        <w:t xml:space="preserve">The optimization is multi-objective. We track three primary objective scalars:</w:t>
      </w:r>
    </w:p>
    <w:p>
      <w:pPr>
        <w:pStyle w:val="BodyText"/>
      </w:pPr>
      <m:oMathPara>
        <m:oMathParaPr>
          <m:jc m:val="center"/>
        </m:oMathParaPr>
        <m:oMath>
          <m:eqArr>
            <m:e>
              <m:sSub>
                <m:e>
                  <m:r>
                    <m:rPr>
                      <m:scr m:val="script"/>
                      <m:sty m:val="p"/>
                    </m:rPr>
                    <m:t>O</m:t>
                  </m:r>
                </m:e>
                <m:sub>
                  <m:r>
                    <m:rPr>
                      <m:nor/>
                      <m:sty m:val="p"/>
                    </m:rPr>
                    <m:t>fid</m:t>
                  </m:r>
                </m:sub>
              </m:sSub>
              <m:r>
                <m:rPr>
                  <m:sty m:val="p"/>
                </m:rPr>
                <m:t>(</m:t>
              </m:r>
              <m:sSub>
                <m:e>
                  <m:r>
                    <m:t>S</m:t>
                  </m:r>
                </m:e>
                <m:sub>
                  <m:r>
                    <m:t>t</m:t>
                  </m:r>
                </m:sub>
              </m:sSub>
              <m:r>
                <m:rPr>
                  <m:sty m:val="p"/>
                </m:rPr>
                <m:t>)</m:t>
              </m:r>
              <m:r>
                <m:t>&amp;</m:t>
              </m:r>
              <m:r>
                <m:rPr>
                  <m:sty m:val="p"/>
                </m:rPr>
                <m:t>=</m:t>
              </m:r>
              <m:f>
                <m:fPr>
                  <m:type m:val="bar"/>
                </m:fPr>
                <m:num>
                  <m:r>
                    <m:t>1</m:t>
                  </m:r>
                </m:num>
                <m:den>
                  <m:r>
                    <m:rPr>
                      <m:sty m:val="p"/>
                    </m:rPr>
                    <m:t>|</m:t>
                  </m:r>
                  <m:sSub>
                    <m:e>
                      <m:r>
                        <m:t>S</m:t>
                      </m:r>
                    </m:e>
                    <m:sub>
                      <m:r>
                        <m:t>t</m:t>
                      </m:r>
                    </m:sub>
                  </m:sSub>
                  <m:r>
                    <m:rPr>
                      <m:sty m:val="p"/>
                    </m:rPr>
                    <m:t>|</m:t>
                  </m:r>
                </m:den>
              </m:f>
              <m:nary>
                <m:naryPr>
                  <m:chr m:val="∑"/>
                  <m:limLoc m:val="undOvr"/>
                  <m:subHide m:val="off"/>
                  <m:supHide m:val="on"/>
                </m:naryPr>
                <m:sub>
                  <m:r>
                    <m:t>s</m:t>
                  </m:r>
                  <m:r>
                    <m:rPr>
                      <m:sty m:val="p"/>
                    </m:rPr>
                    <m:t>∈</m:t>
                  </m:r>
                  <m:sSub>
                    <m:e>
                      <m:r>
                        <m:t>S</m:t>
                      </m:r>
                    </m:e>
                    <m:sub>
                      <m:r>
                        <m:t>t</m:t>
                      </m:r>
                    </m:sub>
                  </m:sSub>
                </m:sub>
                <m:sup>
                  <m:r>
                    <m:t>​</m:t>
                  </m:r>
                </m:sup>
                <m:e>
                  <m:r>
                    <m:rPr>
                      <m:sty m:val="b"/>
                    </m:rPr>
                    <m:t>1</m:t>
                  </m:r>
                </m:e>
              </m:nary>
              <m:r>
                <m:rPr>
                  <m:sty m:val="p"/>
                </m:rPr>
                <m:t>{</m:t>
              </m:r>
              <m:r>
                <m:t>V</m:t>
              </m:r>
              <m:r>
                <m:rPr>
                  <m:sty m:val="p"/>
                </m:rPr>
                <m:t>(</m:t>
              </m:r>
              <m:r>
                <m:t>s</m:t>
              </m:r>
              <m:r>
                <m:rPr>
                  <m:sty m:val="p"/>
                </m:rPr>
                <m:t>,</m:t>
              </m:r>
              <m:r>
                <m:rPr>
                  <m:sty m:val="bi"/>
                </m:rPr>
                <m:t>z</m:t>
              </m:r>
              <m:r>
                <m:rPr>
                  <m:sty m:val="p"/>
                </m:rPr>
                <m:t>(</m:t>
              </m:r>
              <m:r>
                <m:t>s</m:t>
              </m:r>
              <m:r>
                <m:rPr>
                  <m:sty m:val="p"/>
                </m:rPr>
                <m:t>)</m:t>
              </m:r>
              <m:r>
                <m:rPr>
                  <m:sty m:val="p"/>
                </m:rPr>
                <m:t>)</m:t>
              </m:r>
              <m:r>
                <m:rPr>
                  <m:sty m:val="p"/>
                </m:rPr>
                <m:t>=</m:t>
              </m:r>
              <m:r>
                <m:rPr>
                  <m:nor/>
                  <m:sty m:val="p"/>
                </m:rPr>
                <m:t>match</m:t>
              </m:r>
              <m:r>
                <m:rPr>
                  <m:sty m:val="p"/>
                </m:rPr>
                <m:t>}</m:t>
              </m:r>
              <m:r>
                <m:rPr>
                  <m:sty m:val="p"/>
                </m:rPr>
                <m:t>,</m:t>
              </m:r>
            </m:e>
            <m:e>
              <m:sSub>
                <m:e>
                  <m:r>
                    <m:rPr>
                      <m:scr m:val="script"/>
                      <m:sty m:val="p"/>
                    </m:rPr>
                    <m:t>O</m:t>
                  </m:r>
                </m:e>
                <m:sub>
                  <m:r>
                    <m:rPr>
                      <m:nor/>
                      <m:sty m:val="p"/>
                    </m:rPr>
                    <m:t>real</m:t>
                  </m:r>
                </m:sub>
              </m:sSub>
              <m:r>
                <m:rPr>
                  <m:sty m:val="p"/>
                </m:rPr>
                <m:t>(</m:t>
              </m:r>
              <m:sSub>
                <m:e>
                  <m:r>
                    <m:t>S</m:t>
                  </m:r>
                </m:e>
                <m:sub>
                  <m:r>
                    <m:t>t</m:t>
                  </m:r>
                </m:sub>
              </m:sSub>
              <m:r>
                <m:rPr>
                  <m:sty m:val="p"/>
                </m:rPr>
                <m:t>)</m:t>
              </m:r>
              <m:r>
                <m:t>&amp;</m:t>
              </m:r>
              <m:r>
                <m:rPr>
                  <m:sty m:val="p"/>
                </m:rPr>
                <m:t>=</m:t>
              </m:r>
              <m:r>
                <m:t>1</m:t>
              </m:r>
              <m:r>
                <m:rPr>
                  <m:sty m:val="p"/>
                </m:rPr>
                <m:t>−</m:t>
              </m:r>
              <m:r>
                <m:rPr>
                  <m:sty m:val="p"/>
                </m:rPr>
                <m:t>a</m:t>
              </m:r>
              <m:r>
                <m:rPr>
                  <m:sty m:val="p"/>
                </m:rPr>
                <m:t>c</m:t>
              </m:r>
              <m:r>
                <m:rPr>
                  <m:sty m:val="p"/>
                </m:rPr>
                <m:t>c</m:t>
              </m:r>
              <m:d>
                <m:dPr>
                  <m:begChr m:val="("/>
                  <m:sepChr m:val=""/>
                  <m:endChr m:val=")"/>
                  <m:grow/>
                </m:dPr>
                <m:e>
                  <m:r>
                    <m:t>D</m:t>
                  </m:r>
                  <m:r>
                    <m:rPr>
                      <m:sty m:val="p"/>
                    </m:rPr>
                    <m:t>,</m:t>
                  </m:r>
                  <m:r>
                    <m:t>R</m:t>
                  </m:r>
                  <m:r>
                    <m:rPr>
                      <m:sty m:val="p"/>
                    </m:rPr>
                    <m:t>∪</m:t>
                  </m:r>
                  <m:sSub>
                    <m:e>
                      <m:r>
                        <m:t>S</m:t>
                      </m:r>
                    </m:e>
                    <m:sub>
                      <m:r>
                        <m:t>t</m:t>
                      </m:r>
                    </m:sub>
                  </m:sSub>
                </m:e>
              </m:d>
              <m:r>
                <m:rPr>
                  <m:sty m:val="p"/>
                </m:rPr>
                <m:t>,</m:t>
              </m:r>
            </m:e>
            <m:e>
              <m:sSub>
                <m:e>
                  <m:r>
                    <m:rPr>
                      <m:scr m:val="script"/>
                      <m:sty m:val="p"/>
                    </m:rPr>
                    <m:t>O</m:t>
                  </m:r>
                </m:e>
                <m:sub>
                  <m:r>
                    <m:rPr>
                      <m:nor/>
                      <m:sty m:val="p"/>
                    </m:rPr>
                    <m:t>cov</m:t>
                  </m:r>
                </m:sub>
              </m:sSub>
              <m:r>
                <m:rPr>
                  <m:sty m:val="p"/>
                </m:rPr>
                <m:t>(</m:t>
              </m:r>
              <m:sSub>
                <m:e>
                  <m:r>
                    <m:t>S</m:t>
                  </m:r>
                </m:e>
                <m:sub>
                  <m:r>
                    <m:t>t</m:t>
                  </m:r>
                </m:sub>
              </m:sSub>
              <m:r>
                <m:rPr>
                  <m:sty m:val="p"/>
                </m:rPr>
                <m:t>)</m:t>
              </m:r>
              <m:r>
                <m:t>&amp;</m:t>
              </m:r>
              <m:r>
                <m:rPr>
                  <m:sty m:val="p"/>
                </m:rPr>
                <m:t>=</m:t>
              </m:r>
              <m:f>
                <m:fPr>
                  <m:type m:val="lin"/>
                </m:fPr>
                <m:num>
                  <m:r>
                    <m:t>1</m:t>
                  </m:r>
                </m:num>
                <m:den>
                  <m:r>
                    <m:rPr>
                      <m:sty m:val="p"/>
                    </m:rPr>
                    <m:t>|</m:t>
                  </m:r>
                  <m:r>
                    <m:rPr>
                      <m:scr m:val="script"/>
                      <m:sty m:val="p"/>
                    </m:rPr>
                    <m:t>A</m:t>
                  </m:r>
                  <m:r>
                    <m:rPr>
                      <m:sty m:val="p"/>
                    </m:rPr>
                    <m:t>|</m:t>
                  </m:r>
                </m:den>
              </m:f>
              <m:nary>
                <m:naryPr>
                  <m:chr m:val="∑"/>
                  <m:limLoc m:val="undOvr"/>
                  <m:subHide m:val="off"/>
                  <m:supHide m:val="on"/>
                </m:naryPr>
                <m:sub>
                  <m:r>
                    <m:t>k</m:t>
                  </m:r>
                </m:sub>
                <m:sup>
                  <m:r>
                    <m:t>​</m:t>
                  </m:r>
                </m:sup>
                <m:e>
                  <m:f>
                    <m:fPr>
                      <m:type m:val="lin"/>
                    </m:fPr>
                    <m:num>
                      <m:r>
                        <m:t>H</m:t>
                      </m:r>
                      <m:r>
                        <m:rPr>
                          <m:sty m:val="p"/>
                        </m:rPr>
                        <m:t>(</m:t>
                      </m:r>
                      <m:r>
                        <m:rPr>
                          <m:sty m:val="p"/>
                        </m:rPr>
                        <m:t>{</m:t>
                      </m:r>
                      <m:sSub>
                        <m:e>
                          <m:r>
                            <m:rPr>
                              <m:sty m:val="bi"/>
                            </m:rPr>
                            <m:t>z</m:t>
                          </m:r>
                        </m:e>
                        <m:sub>
                          <m:r>
                            <m:t>k</m:t>
                          </m:r>
                        </m:sub>
                      </m:sSub>
                      <m:r>
                        <m:rPr>
                          <m:sty m:val="p"/>
                        </m:rPr>
                        <m:t>}</m:t>
                      </m:r>
                      <m:r>
                        <m:rPr>
                          <m:sty m:val="p"/>
                        </m:rPr>
                        <m:t>)</m:t>
                      </m:r>
                    </m:num>
                    <m:den>
                      <m:r>
                        <m:rPr>
                          <m:sty m:val="p"/>
                        </m:rPr>
                        <m:t>log</m:t>
                      </m:r>
                      <m:r>
                        <m:rPr>
                          <m:sty m:val="p"/>
                        </m:rPr>
                        <m:t>|</m:t>
                      </m:r>
                      <m:sSub>
                        <m:e>
                          <m:r>
                            <m:t>V</m:t>
                          </m:r>
                        </m:e>
                        <m:sub>
                          <m:r>
                            <m:t>k</m:t>
                          </m:r>
                        </m:sub>
                      </m:sSub>
                      <m:r>
                        <m:rPr>
                          <m:sty m:val="p"/>
                        </m:rPr>
                        <m:t>|</m:t>
                      </m:r>
                    </m:den>
                  </m:f>
                </m:e>
              </m:nary>
              <m:r>
                <m:rPr>
                  <m:sty m:val="p"/>
                </m:rPr>
                <m:t>,</m:t>
              </m:r>
            </m:e>
          </m:eqArr>
        </m:oMath>
      </m:oMathPara>
    </w:p>
    <w:p>
      <w:pPr>
        <w:pStyle w:val="FirstParagraph"/>
        <w:jc w:val="both"/>
        <w:keepNext w:val="0"/>
        <w:keepLines w:val="0"/>
        <w:widowControl w:val="1"/>
      </w:pPr>
      <w:r>
        <w:t xml:space="preserve">where</w:t>
      </w:r>
      <w:r>
        <w:t xml:space="preserve"> </w:t>
      </w:r>
      <m:oMath>
        <m:r>
          <m:rPr>
            <m:sty m:val="p"/>
          </m:rPr>
          <m:t>a</m:t>
        </m:r>
        <m:r>
          <m:rPr>
            <m:sty m:val="p"/>
          </m:rPr>
          <m:t>c</m:t>
        </m:r>
        <m:r>
          <m:rPr>
            <m:sty m:val="p"/>
          </m:rPr>
          <m:t>c</m:t>
        </m:r>
        <m:r>
          <m:rPr>
            <m:sty m:val="p"/>
          </m:rPr>
          <m:t>(</m:t>
        </m:r>
        <m:r>
          <m:t>D</m:t>
        </m:r>
        <m:r>
          <m:rPr>
            <m:sty m:val="p"/>
          </m:rPr>
          <m:t>,</m:t>
        </m:r>
        <m:r>
          <m:rPr>
            <m:sty m:val="p"/>
          </m:rPr>
          <m:t>⋅</m:t>
        </m:r>
        <m:r>
          <m:rPr>
            <m:sty m:val="p"/>
          </m:rPr>
          <m:t>)</m:t>
        </m:r>
      </m:oMath>
      <w:r>
        <w:t xml:space="preserve"> </w:t>
      </w:r>
      <w:r>
        <w:t xml:space="preserve">is the discriminator's accuracy on the shuffled mixed batch (chance level</w:t>
      </w:r>
      <w:r>
        <w:t xml:space="preserve"> </w:t>
      </w:r>
      <m:oMath>
        <m:r>
          <m:t>0.5</m:t>
        </m:r>
      </m:oMath>
      <w:r>
        <w:t xml:space="preserve">) and</w:t>
      </w:r>
      <w:r>
        <w:t xml:space="preserve"> </w:t>
      </w:r>
      <m:oMath>
        <m:r>
          <m:t>H</m:t>
        </m:r>
        <m:r>
          <m:rPr>
            <m:sty m:val="p"/>
          </m:rPr>
          <m:t>(</m:t>
        </m:r>
        <m:r>
          <m:rPr>
            <m:sty m:val="p"/>
          </m:rPr>
          <m:t>⋅</m:t>
        </m:r>
        <m:r>
          <m:rPr>
            <m:sty m:val="p"/>
          </m:rPr>
          <m:t>)</m:t>
        </m:r>
      </m:oMath>
      <w:r>
        <w:t xml:space="preserve"> </w:t>
      </w:r>
      <w:r>
        <w:t xml:space="preserve">is the Shannon entropy of observed attribute values. The near-duplicate rate</w:t>
      </w:r>
      <w:r>
        <w:t xml:space="preserve"> </w:t>
      </w:r>
      <m:oMath>
        <m:r>
          <m:t>τ</m:t>
        </m:r>
        <m:r>
          <m:rPr>
            <m:sty m:val="p"/>
          </m:rPr>
          <m:t>(</m:t>
        </m:r>
        <m:r>
          <m:rPr>
            <m:sty m:val="p"/>
          </m:rPr>
          <m:t>{</m:t>
        </m:r>
        <m:sSub>
          <m:e>
            <m:r>
              <m:t>x</m:t>
            </m:r>
          </m:e>
          <m:sub>
            <m:r>
              <m:t>s</m:t>
            </m:r>
          </m:sub>
        </m:sSub>
        <m:r>
          <m:rPr>
            <m:sty m:val="p"/>
          </m:rPr>
          <m:t>}</m:t>
        </m:r>
        <m:r>
          <m:rPr>
            <m:sty m:val="p"/>
          </m:rPr>
          <m:t>)</m:t>
        </m:r>
        <m:r>
          <m:rPr>
            <m:sty m:val="p"/>
          </m:rPr>
          <m:t>=</m:t>
        </m:r>
        <m:f>
          <m:fPr>
            <m:type m:val="lin"/>
          </m:fPr>
          <m:num>
            <m:r>
              <m:t>1</m:t>
            </m:r>
          </m:num>
          <m:den>
            <m:r>
              <m:rPr>
                <m:sty m:val="p"/>
              </m:rPr>
              <m:t>|</m:t>
            </m:r>
            <m:r>
              <m:t>S</m:t>
            </m:r>
            <m:r>
              <m:rPr>
                <m:sty m:val="p"/>
              </m:rPr>
              <m:t>|</m:t>
            </m:r>
          </m:den>
        </m:f>
        <m:r>
          <m:rPr>
            <m:sty m:val="p"/>
          </m:rPr>
          <m:t>|</m:t>
        </m:r>
        <m:r>
          <m:rPr>
            <m:sty m:val="p"/>
          </m:rPr>
          <m:t>{</m:t>
        </m:r>
        <m:r>
          <m:t>x</m:t>
        </m:r>
        <m:r>
          <m:rPr>
            <m:sty m:val="p"/>
          </m:rPr>
          <m:t>:</m:t>
        </m:r>
        <m:sSub>
          <m:e>
            <m:r>
              <m:rPr>
                <m:sty m:val="p"/>
              </m:rPr>
              <m:t>max</m:t>
            </m:r>
          </m:e>
          <m:sub>
            <m:sSup>
              <m:e>
                <m:r>
                  <m:t>x</m:t>
                </m:r>
              </m:e>
              <m:sup>
                <m:r>
                  <m:rPr>
                    <m:sty m:val="p"/>
                  </m:rPr>
                  <m:t>′</m:t>
                </m:r>
              </m:sup>
            </m:sSup>
            <m:r>
              <m:rPr>
                <m:sty m:val="p"/>
              </m:rPr>
              <m:t>≠</m:t>
            </m:r>
            <m:r>
              <m:t>x</m:t>
            </m:r>
          </m:sub>
        </m:sSub>
        <m:r>
          <m:rPr>
            <m:sty m:val="p"/>
          </m:rPr>
          <m:t>cos</m:t>
        </m:r>
        <m:r>
          <m:rPr>
            <m:sty m:val="p"/>
          </m:rPr>
          <m:t>(</m:t>
        </m:r>
        <m:r>
          <m:t>ϕ</m:t>
        </m:r>
        <m:r>
          <m:rPr>
            <m:sty m:val="p"/>
          </m:rPr>
          <m:t>(</m:t>
        </m:r>
        <m:r>
          <m:t>x</m:t>
        </m:r>
        <m:r>
          <m:rPr>
            <m:sty m:val="p"/>
          </m:rPr>
          <m:t>)</m:t>
        </m:r>
        <m:r>
          <m:rPr>
            <m:sty m:val="p"/>
          </m:rPr>
          <m:t>,</m:t>
        </m:r>
        <m:r>
          <m:t>ϕ</m:t>
        </m:r>
        <m:r>
          <m:rPr>
            <m:sty m:val="p"/>
          </m:rPr>
          <m:t>(</m:t>
        </m:r>
        <m:sSup>
          <m:e>
            <m:r>
              <m:t>x</m:t>
            </m:r>
          </m:e>
          <m:sup>
            <m:r>
              <m:rPr>
                <m:sty m:val="p"/>
              </m:rPr>
              <m:t>′</m:t>
            </m:r>
          </m:sup>
        </m:sSup>
        <m:r>
          <m:rPr>
            <m:sty m:val="p"/>
          </m:rPr>
          <m:t>)</m:t>
        </m:r>
        <m:r>
          <m:rPr>
            <m:sty m:val="p"/>
          </m:rPr>
          <m:t>)</m:t>
        </m:r>
        <m:r>
          <m:rPr>
            <m:sty m:val="p"/>
          </m:rPr>
          <m:t>≥</m:t>
        </m:r>
        <m:r>
          <m:t>θ</m:t>
        </m:r>
        <m:r>
          <m:rPr>
            <m:sty m:val="p"/>
          </m:rPr>
          <m:t>}</m:t>
        </m:r>
        <m:r>
          <m:rPr>
            <m:sty m:val="p"/>
          </m:rPr>
          <m:t>|</m:t>
        </m:r>
      </m:oMath>
      <w:r>
        <w:t xml:space="preserve"> </w:t>
      </w:r>
      <w:r>
        <w:t xml:space="preserve">and the combination coverage are reported separately, not folded into a single weighted scalar, so each axis can be inspected independently.</w:t>
      </w:r>
    </w:p>
    <w:p>
      <w:pPr>
        <w:pStyle w:val="BodyText"/>
        <w:jc w:val="both"/>
        <w:keepNext w:val="0"/>
        <w:keepLines w:val="0"/>
        <w:widowControl w:val="1"/>
      </w:pPr>
      <w:r>
        <w:t xml:space="preserve">In Section 5 we add four batch-level objectives that the GAN-style adversaries optimize: Pack accuracy (</w:t>
      </w:r>
      <m:oMath>
        <m:sSub>
          <m:e>
            <m:r>
              <m:rPr>
                <m:scr m:val="script"/>
                <m:sty m:val="p"/>
              </m:rPr>
              <m:t>O</m:t>
            </m:r>
          </m:e>
          <m:sub>
            <m:r>
              <m:rPr>
                <m:nor/>
                <m:sty m:val="p"/>
              </m:rPr>
              <m:t>pack</m:t>
            </m:r>
          </m:sub>
        </m:sSub>
      </m:oMath>
      <w:r>
        <w:t xml:space="preserve">, target</w:t>
      </w:r>
      <w:r>
        <w:t xml:space="preserve"> </w:t>
      </w:r>
      <m:oMath>
        <m:r>
          <m:t>0.5</m:t>
        </m:r>
      </m:oMath>
      <w:r>
        <w:t xml:space="preserve">), Mode-Seeking ratio relative to real (</w:t>
      </w:r>
      <m:oMath>
        <m:sSub>
          <m:e>
            <m:r>
              <m:rPr>
                <m:scr m:val="script"/>
                <m:sty m:val="p"/>
              </m:rPr>
              <m:t>O</m:t>
            </m:r>
          </m:e>
          <m:sub>
            <m:r>
              <m:rPr>
                <m:nor/>
                <m:sty m:val="p"/>
              </m:rPr>
              <m:t>ms</m:t>
            </m:r>
          </m:sub>
        </m:sSub>
      </m:oMath>
      <w:r>
        <w:t xml:space="preserve">, target</w:t>
      </w:r>
      <w:r>
        <w:t xml:space="preserve"> </w:t>
      </w:r>
      <m:oMath>
        <m:r>
          <m:t>1.0</m:t>
        </m:r>
      </m:oMath>
      <w:r>
        <w:t xml:space="preserve">), Mode Hunter library survivors (</w:t>
      </w:r>
      <m:oMath>
        <m:sSub>
          <m:e>
            <m:r>
              <m:rPr>
                <m:scr m:val="script"/>
                <m:sty m:val="p"/>
              </m:rPr>
              <m:t>O</m:t>
            </m:r>
          </m:e>
          <m:sub>
            <m:r>
              <m:rPr>
                <m:nor/>
                <m:sty m:val="p"/>
              </m:rPr>
              <m:t>hunt</m:t>
            </m:r>
          </m:sub>
        </m:sSub>
      </m:oMath>
      <w:r>
        <w:t xml:space="preserve">, target</w:t>
      </w:r>
      <w:r>
        <w:t xml:space="preserve"> </w:t>
      </w:r>
      <m:oMath>
        <m:r>
          <m:t>0</m:t>
        </m:r>
      </m:oMath>
      <w:r>
        <w:t xml:space="preserve">), and Coverage Classifier AUROC (</w:t>
      </w:r>
      <m:oMath>
        <m:sSub>
          <m:e>
            <m:r>
              <m:rPr>
                <m:scr m:val="script"/>
                <m:sty m:val="p"/>
              </m:rPr>
              <m:t>O</m:t>
            </m:r>
          </m:e>
          <m:sub>
            <m:r>
              <m:rPr>
                <m:nor/>
                <m:sty m:val="p"/>
              </m:rPr>
              <m:t>auroc</m:t>
            </m:r>
          </m:sub>
        </m:sSub>
      </m:oMath>
      <w:r>
        <w:t xml:space="preserve">, target</w:t>
      </w:r>
      <w:r>
        <w:t xml:space="preserve"> </w:t>
      </w:r>
      <m:oMath>
        <m:r>
          <m:t>0.5</m:t>
        </m:r>
      </m:oMath>
      <w:r>
        <w:t xml:space="preserve">).</w:t>
      </w:r>
    </w:p>
    <w:p>
      <w:pPr>
        <w:pStyle w:val="BodyText"/>
        <w:jc w:val="both"/>
        <w:keepNext w:val="0"/>
        <w:keepLines w:val="0"/>
        <w:widowControl w:val="1"/>
      </w:pPr>
      <w:r>
        <w:rPr>
          <w:i/>
          <w:iCs/>
        </w:rPr>
        <w:t xml:space="preserve">Why optimize the prompt rather than weights?</w:t>
      </w:r>
      <w:r>
        <w:t xml:space="preserve"> </w:t>
      </w:r>
      <w:r>
        <w:t xml:space="preserve">Optimizing the prompt yields four practical advantages: zero parameter footprint, inspectable optimization trajectory (every prompt version is a reviewable text artifact), immediate applicability to closed-weights models, and cheap multi-seed re-runs without GPU.</w:t>
      </w:r>
    </w:p>
    <w:bookmarkEnd w:id="24"/>
    <w:bookmarkStart w:id="32" w:name="sec-method"/>
    <w:p>
      <w:pPr>
        <w:pStyle w:val="Heading2"/>
        <w:keepNext/>
        <w:keepLines/>
        <w:widowControl w:val="1"/>
      </w:pPr>
      <w:r>
        <w:t xml:space="preserve">4</w:t>
      </w:r>
      <w:r>
        <w:t xml:space="preserve"> </w:t>
      </w:r>
      <w:r>
        <w:t xml:space="preserve">Method: the SynSmith loop</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2" w:space="288" w:equalWidth="1"/>
          <w:docGrid w:linePitch="360"/>
        </w:sectPr>
      </w:pPr>
    </w:p>
    <w:p>
      <w:pPr>
        <w:pStyle w:val="BodyText"/>
        <w:jc w:val="center"/>
        <w:keepNext/>
        <w:keepLines/>
        <w:widowControl w:val="1"/>
      </w:pPr>
      <w:r>
        <w:drawing>
          <wp:inline>
            <wp:extent cx="5943600" cy="3317358"/>
            <wp:effectExtent b="0" l="0" r="0" t="0"/>
            <wp:docPr descr="Schematic of the SynSmith optimization loop: real example set and attribute schema feed into the planner, which emits target attribute vectors; the generator produces synthetic samples; seven critics (three baseline plus four GAN-style adversaries) evaluate the batch; the updater rewrites the prompt under a length budget; samples optionally flow into a downstream evaluator." title="" id="26" name="Picture"/>
            <a:graphic>
              <a:graphicData uri="http://schemas.openxmlformats.org/drawingml/2006/picture">
                <pic:pic>
                  <pic:nvPicPr>
                    <pic:cNvPr descr="figures/architecture.png" id="27" name="Picture"/>
                    <pic:cNvPicPr>
                      <a:picLocks noChangeArrowheads="1" noChangeAspect="1"/>
                    </pic:cNvPicPr>
                  </pic:nvPicPr>
                  <pic:blipFill>
                    <a:blip r:embed="rId25"/>
                    <a:stretch>
                      <a:fillRect/>
                    </a:stretch>
                  </pic:blipFill>
                  <pic:spPr bwMode="auto">
                    <a:xfrm>
                      <a:off x="0" y="0"/>
                      <a:ext cx="5943600" cy="3317358"/>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m:oMath>
        <m:sSub>
          <m:e>
            <m:r>
              <m:rPr>
                <m:sty m:val="bi"/>
              </m:rPr>
              <m:t>z</m:t>
            </m:r>
          </m:e>
          <m:sub>
            <m:r>
              <m:t>t</m:t>
            </m:r>
          </m:sub>
        </m:sSub>
      </m:oMath>
      <m:oMath>
        <m:sSub>
          <m:e>
            <m:r>
              <m:t>S</m:t>
            </m:r>
          </m:e>
          <m:sub>
            <m:r>
              <m:t>t</m:t>
            </m:r>
          </m:sub>
        </m:sSub>
      </m:oMath>
      <m:oMath>
        <m:sSub>
          <m:e>
            <m:r>
              <m:t>P</m:t>
            </m:r>
          </m:e>
          <m:sub>
            <m:r>
              <m:t>t</m:t>
            </m:r>
            <m:r>
              <m:rPr>
                <m:sty m:val="p"/>
              </m:rPr>
              <m:t>+</m:t>
            </m:r>
            <m:r>
              <m:t>1</m:t>
            </m:r>
          </m:sub>
        </m:sSub>
      </m:oMath>
      <w:r>
        <w:rPr>
          <w:b/>
          <w:i/>
        </w:rPr>
        <w:t>Figure 1:</w:t>
      </w:r>
      <w:r>
        <w:rPr>
          <w:b w:val="0"/>
          <w:i/>
        </w:rPr>
        <w:t xml:space="preserve"> </w:t>
      </w:r>
      <w:r>
        <w:rPr>
          <w:b w:val="0"/>
          <w:i/>
        </w:rPr>
        <w:t>The SynSmith optimization loop. The attribute planner emits target attribute vectors  that condition the generator. The seven critic stack evaluates the resulting samples  along orthogonal axes (three baseline critics, four GAN-style adversaries highlighted in gray); each emits structured named complaints. The prompt updater rewrites the generator prompt  under a length budget, closing the loop. A downstream evaluator (right) trains a classifier on the final synthetic batch and tests it on held-out real data.</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1" w:space="288"/>
          <w:docGrid w:linePitch="360"/>
        </w:sectPr>
      </w:pPr>
    </w:p>
    <w:bookmarkStart w:id="28" w:name="attribute-planner"/>
    <w:p>
      <w:pPr>
        <w:pStyle w:val="Heading3"/>
        <w:keepNext/>
        <w:keepLines/>
        <w:widowControl w:val="1"/>
      </w:pPr>
      <w:r>
        <w:t xml:space="preserve">4.1</w:t>
      </w:r>
      <w:r>
        <w:t xml:space="preserve"> </w:t>
      </w:r>
      <w:r>
        <w:t xml:space="preserve">Attribute planner</w:t>
      </w:r>
    </w:p>
    <w:p>
      <w:pPr>
        <w:pStyle w:val="FirstParagraph"/>
        <w:jc w:val="both"/>
        <w:keepNext w:val="0"/>
        <w:keepLines w:val="0"/>
        <w:widowControl w:val="1"/>
      </w:pPr>
      <w:r>
        <w:t xml:space="preserve">The planner emits target attribute vectors for the next batch. Two strategies are shipped:</w:t>
      </w:r>
      <w:r>
        <w:t xml:space="preserve"> </w:t>
      </w:r>
      <w:r>
        <w:rPr>
          <w:b/>
          <w:bCs/>
        </w:rPr>
        <w:t xml:space="preserve">stratified</w:t>
      </w:r>
      <w:r>
        <w:t xml:space="preserve"> </w:t>
      </w:r>
      <w:r>
        <w:t xml:space="preserve">(independent uniform sampling per attribute, validity-checked against</w:t>
      </w:r>
      <w:r>
        <w:t xml:space="preserve"> </w:t>
      </w:r>
      <m:oMath>
        <m:r>
          <m:rPr>
            <m:scr m:val="script"/>
            <m:sty m:val="p"/>
          </m:rPr>
          <m:t>C</m:t>
        </m:r>
      </m:oMath>
      <w:r>
        <w:t xml:space="preserve">), and</w:t>
      </w:r>
      <w:r>
        <w:t xml:space="preserve"> </w:t>
      </w:r>
      <w:r>
        <w:rPr>
          <w:b/>
          <w:bCs/>
        </w:rPr>
        <w:t xml:space="preserve">coverage-gap</w:t>
      </w:r>
      <w:r>
        <w:t xml:space="preserve"> </w:t>
      </w:r>
      <w:r>
        <w:t xml:space="preserve">(sampling weighted inversely by attribute-pair counts among existing samples). Coverage-gap is the default in our experiments. For two attributes</w:t>
      </w:r>
      <w:r>
        <w:t xml:space="preserve"> </w:t>
      </w:r>
      <m:oMath>
        <m:sSub>
          <m:e>
            <m:r>
              <m:t>a</m:t>
            </m:r>
          </m:e>
          <m:sub>
            <m:r>
              <m:t>i</m:t>
            </m:r>
          </m:sub>
        </m:sSub>
        <m:r>
          <m:rPr>
            <m:sty m:val="p"/>
          </m:rPr>
          <m:t>,</m:t>
        </m:r>
        <m:sSub>
          <m:e>
            <m:r>
              <m:t>a</m:t>
            </m:r>
          </m:e>
          <m:sub>
            <m:r>
              <m:t>j</m:t>
            </m:r>
          </m:sub>
        </m:sSub>
      </m:oMath>
      <w:r>
        <w:t xml:space="preserve"> </w:t>
      </w:r>
      <w:r>
        <w:t xml:space="preserve">with observed pair-count</w:t>
      </w:r>
      <w:r>
        <w:t xml:space="preserve"> </w:t>
      </w:r>
      <m:oMath>
        <m:sSub>
          <m:e>
            <m:r>
              <m:t>n</m:t>
            </m:r>
          </m:e>
          <m:sub>
            <m:sSub>
              <m:e>
                <m:r>
                  <m:t>a</m:t>
                </m:r>
              </m:e>
              <m:sub>
                <m:r>
                  <m:t>i</m:t>
                </m:r>
              </m:sub>
            </m:sSub>
            <m:r>
              <m:rPr>
                <m:sty m:val="p"/>
              </m:rPr>
              <m:t>=</m:t>
            </m:r>
            <m:sSub>
              <m:e>
                <m:r>
                  <m:t>v</m:t>
                </m:r>
              </m:e>
              <m:sub>
                <m:r>
                  <m:t>i</m:t>
                </m:r>
              </m:sub>
            </m:sSub>
            <m:r>
              <m:rPr>
                <m:sty m:val="p"/>
              </m:rPr>
              <m:t>,</m:t>
            </m:r>
            <m:r>
              <m:t> </m:t>
            </m:r>
            <m:sSub>
              <m:e>
                <m:r>
                  <m:t>a</m:t>
                </m:r>
              </m:e>
              <m:sub>
                <m:r>
                  <m:t>j</m:t>
                </m:r>
              </m:sub>
            </m:sSub>
            <m:r>
              <m:rPr>
                <m:sty m:val="p"/>
              </m:rPr>
              <m:t>=</m:t>
            </m:r>
            <m:sSub>
              <m:e>
                <m:r>
                  <m:t>v</m:t>
                </m:r>
              </m:e>
              <m:sub>
                <m:r>
                  <m:t>j</m:t>
                </m:r>
              </m:sub>
            </m:sSub>
          </m:sub>
        </m:sSub>
      </m:oMath>
      <w:r>
        <w:t xml:space="preserve">:</w:t>
      </w:r>
    </w:p>
    <w:p>
      <w:pPr>
        <w:pStyle w:val="BodyText"/>
      </w:pPr>
      <m:oMathPara>
        <m:oMathParaPr>
          <m:jc m:val="center"/>
        </m:oMathParaPr>
        <m:oMath>
          <m:r>
            <m:t>w</m:t>
          </m:r>
          <m:r>
            <m:rPr>
              <m:sty m:val="p"/>
            </m:rPr>
            <m:t>(</m:t>
          </m:r>
          <m:sSub>
            <m:e>
              <m:r>
                <m:t>a</m:t>
              </m:r>
            </m:e>
            <m:sub>
              <m:r>
                <m:t>i</m:t>
              </m:r>
            </m:sub>
          </m:sSub>
          <m:r>
            <m:rPr>
              <m:sty m:val="p"/>
            </m:rPr>
            <m:t>,</m:t>
          </m:r>
          <m:sSub>
            <m:e>
              <m:r>
                <m:t>v</m:t>
              </m:r>
            </m:e>
            <m:sub>
              <m:r>
                <m:t>i</m:t>
              </m:r>
            </m:sub>
          </m:sSub>
          <m:r>
            <m:rPr>
              <m:sty m:val="p"/>
            </m:rPr>
            <m:t>,</m:t>
          </m:r>
          <m:sSub>
            <m:e>
              <m:r>
                <m:t>a</m:t>
              </m:r>
            </m:e>
            <m:sub>
              <m:r>
                <m:t>j</m:t>
              </m:r>
            </m:sub>
          </m:sSub>
          <m:r>
            <m:rPr>
              <m:sty m:val="p"/>
            </m:rPr>
            <m:t>,</m:t>
          </m:r>
          <m:sSub>
            <m:e>
              <m:r>
                <m:t>v</m:t>
              </m:r>
            </m:e>
            <m:sub>
              <m:r>
                <m:t>j</m:t>
              </m:r>
            </m:sub>
          </m:sSub>
          <m:r>
            <m:rPr>
              <m:sty m:val="p"/>
            </m:rPr>
            <m:t>)</m:t>
          </m:r>
          <m:r>
            <m:t> </m:t>
          </m:r>
          <m:r>
            <m:rPr>
              <m:sty m:val="p"/>
            </m:rPr>
            <m:t>=</m:t>
          </m:r>
          <m:r>
            <m:t> </m:t>
          </m:r>
          <m:f>
            <m:fPr>
              <m:type m:val="bar"/>
            </m:fPr>
            <m:num>
              <m:r>
                <m:t>1</m:t>
              </m:r>
            </m:num>
            <m:den>
              <m:r>
                <m:t>1</m:t>
              </m:r>
              <m:r>
                <m:rPr>
                  <m:sty m:val="p"/>
                </m:rPr>
                <m:t>+</m:t>
              </m:r>
              <m:sSub>
                <m:e>
                  <m:r>
                    <m:t>n</m:t>
                  </m:r>
                </m:e>
                <m:sub>
                  <m:sSub>
                    <m:e>
                      <m:r>
                        <m:t>a</m:t>
                      </m:r>
                    </m:e>
                    <m:sub>
                      <m:r>
                        <m:t>i</m:t>
                      </m:r>
                    </m:sub>
                  </m:sSub>
                  <m:r>
                    <m:rPr>
                      <m:sty m:val="p"/>
                    </m:rPr>
                    <m:t>=</m:t>
                  </m:r>
                  <m:sSub>
                    <m:e>
                      <m:r>
                        <m:t>v</m:t>
                      </m:r>
                    </m:e>
                    <m:sub>
                      <m:r>
                        <m:t>i</m:t>
                      </m:r>
                    </m:sub>
                  </m:sSub>
                  <m:r>
                    <m:rPr>
                      <m:sty m:val="p"/>
                    </m:rPr>
                    <m:t>,</m:t>
                  </m:r>
                  <m:r>
                    <m:t> </m:t>
                  </m:r>
                  <m:sSub>
                    <m:e>
                      <m:r>
                        <m:t>a</m:t>
                      </m:r>
                    </m:e>
                    <m:sub>
                      <m:r>
                        <m:t>j</m:t>
                      </m:r>
                    </m:sub>
                  </m:sSub>
                  <m:r>
                    <m:rPr>
                      <m:sty m:val="p"/>
                    </m:rPr>
                    <m:t>=</m:t>
                  </m:r>
                  <m:sSub>
                    <m:e>
                      <m:r>
                        <m:t>v</m:t>
                      </m:r>
                    </m:e>
                    <m:sub>
                      <m:r>
                        <m:t>j</m:t>
                      </m:r>
                    </m:sub>
                  </m:sSub>
                </m:sub>
              </m:sSub>
            </m:den>
          </m:f>
          <m:r>
            <m:rPr>
              <m:sty m:val="p"/>
            </m:rPr>
            <m:t>.</m:t>
          </m:r>
        </m:oMath>
      </m:oMathPara>
    </w:p>
    <w:p>
      <w:pPr>
        <w:pStyle w:val="FirstParagraph"/>
        <w:jc w:val="both"/>
        <w:keepNext w:val="0"/>
        <w:keepLines w:val="0"/>
        <w:widowControl w:val="1"/>
      </w:pPr>
      <w:r>
        <w:t xml:space="preserve">The planner currently considers two-attribute pairs only; extension to higher-order combinations is straightforward but unimplemented.</w:t>
      </w:r>
    </w:p>
    <w:bookmarkEnd w:id="28"/>
    <w:bookmarkStart w:id="29" w:name="generator"/>
    <w:p>
      <w:pPr>
        <w:pStyle w:val="Heading3"/>
        <w:keepNext/>
        <w:keepLines/>
        <w:widowControl w:val="1"/>
      </w:pPr>
      <w:r>
        <w:t xml:space="preserve">4.2</w:t>
      </w:r>
      <w:r>
        <w:t xml:space="preserve"> </w:t>
      </w:r>
      <w:r>
        <w:t xml:space="preserve">Generator</w:t>
      </w:r>
    </w:p>
    <w:p>
      <w:pPr>
        <w:pStyle w:val="FirstParagraph"/>
        <w:jc w:val="both"/>
        <w:keepNext w:val="0"/>
        <w:keepLines w:val="0"/>
        <w:widowControl w:val="1"/>
      </w:pPr>
      <w:r>
        <w:t xml:space="preserve">The generator is a backend-agnostic LLM wrapper. Per target vector it receives the current prompt</w:t>
      </w:r>
      <w:r>
        <w:t xml:space="preserve"> </w:t>
      </w:r>
      <m:oMath>
        <m:sSub>
          <m:e>
            <m:r>
              <m:t>P</m:t>
            </m:r>
          </m:e>
          <m:sub>
            <m:r>
              <m:t>t</m:t>
            </m:r>
          </m:sub>
        </m:sSub>
      </m:oMath>
      <w:r>
        <w:t xml:space="preserve">, a refreshed random sample of real examples for few-shot anchoring, the schema, and the target attributes; it returns a JSON object with the sample text and the realized attributes. Sample-by-sample (not batched) generation is chosen so that per-sample temperature variance contributes to surface diversity and so the verifier and the discriminator receive per-sample IDs to return verdicts against.</w:t>
      </w:r>
    </w:p>
    <w:bookmarkEnd w:id="29"/>
    <w:bookmarkStart w:id="30" w:name="three-baseline-critics"/>
    <w:p>
      <w:pPr>
        <w:pStyle w:val="Heading3"/>
        <w:keepNext/>
        <w:keepLines/>
        <w:widowControl w:val="1"/>
      </w:pPr>
      <w:r>
        <w:t xml:space="preserve">4.3</w:t>
      </w:r>
      <w:r>
        <w:t xml:space="preserve"> </w:t>
      </w:r>
      <w:r>
        <w:t xml:space="preserve">Three baseline critics</w:t>
      </w:r>
    </w:p>
    <w:p>
      <w:pPr>
        <w:pStyle w:val="FirstParagraph"/>
        <w:jc w:val="both"/>
        <w:keepNext w:val="0"/>
        <w:keepLines w:val="0"/>
        <w:widowControl w:val="1"/>
      </w:pPr>
      <w:r>
        <w:rPr>
          <w:b/>
          <w:bCs/>
        </w:rPr>
        <w:t xml:space="preserve">Verifier</w:t>
      </w:r>
      <w:r>
        <w:t xml:space="preserve">: judges per-sample whether the text reflects the requested attribute vector. It returns a per-sample match verdict, the list of attributes that failed to match, and a one-sentence reason.</w:t>
      </w:r>
      <w:r>
        <w:t xml:space="preserve"> </w:t>
      </w:r>
      <w:r>
        <w:rPr>
          <w:b/>
          <w:bCs/>
        </w:rPr>
        <w:t xml:space="preserve">Realism discriminator</w:t>
      </w:r>
      <w:r>
        <w:t xml:space="preserve">: receives a shuffled batch of real and synthetic samples (without labels) and classifies each as real or synthetic with a confidence and a named-cue reason. Its accuracy on the mixed batch is the realism scalar; chance accuracy is the target.</w:t>
      </w:r>
      <w:r>
        <w:t xml:space="preserve"> </w:t>
      </w:r>
      <w:r>
        <w:rPr>
          <w:b/>
          <w:bCs/>
        </w:rPr>
        <w:t xml:space="preserve">Diversity auditor</w:t>
      </w:r>
      <w:r>
        <w:t xml:space="preserve">: a deterministic layer (per-attribute coverage, Shannon entropy, near-duplicate rate at cosine threshold</w:t>
      </w:r>
      <w:r>
        <w:t xml:space="preserve"> </w:t>
      </w:r>
      <m:oMath>
        <m:r>
          <m:t>θ</m:t>
        </m:r>
        <m:r>
          <m:rPr>
            <m:sty m:val="p"/>
          </m:rPr>
          <m:t>=</m:t>
        </m:r>
        <m:r>
          <m:t>0.92</m:t>
        </m:r>
      </m:oMath>
      <w:r>
        <w:t xml:space="preserve">, computed over TF-IDF features by default; sentence-transformer embeddings are an opt-in) plus an optional LLM judgment layer returning missing modes, overrepresented modes, and recommendations.</w:t>
      </w:r>
    </w:p>
    <w:bookmarkEnd w:id="30"/>
    <w:bookmarkStart w:id="31" w:name="prompt-updater"/>
    <w:p>
      <w:pPr>
        <w:pStyle w:val="Heading3"/>
        <w:keepNext/>
        <w:keepLines/>
        <w:widowControl w:val="1"/>
      </w:pPr>
      <w:r>
        <w:t xml:space="preserve">4.4</w:t>
      </w:r>
      <w:r>
        <w:t xml:space="preserve"> </w:t>
      </w:r>
      <w:r>
        <w:t xml:space="preserve">Prompt updater</w:t>
      </w:r>
    </w:p>
    <w:p>
      <w:pPr>
        <w:pStyle w:val="FirstParagraph"/>
        <w:jc w:val="both"/>
        <w:keepNext w:val="0"/>
        <w:keepLines w:val="0"/>
        <w:widowControl w:val="1"/>
      </w:pPr>
      <w:r>
        <w:t xml:space="preserve">The updater is the optimization step. It receives</w:t>
      </w:r>
      <w:r>
        <w:t xml:space="preserve"> </w:t>
      </w:r>
      <w:r>
        <w:rPr>
          <w:i/>
          <w:iCs/>
        </w:rPr>
        <w:t xml:space="preserve">verbatim critic transcripts</w:t>
      </w:r>
      <w:r>
        <w:t xml:space="preserve"> </w:t>
      </w:r>
      <w:r>
        <w:t xml:space="preserve">in named sections of a single template (one section per critic), and rewrites the prompt. The rewrite is constrained by a length budget (280 words for the user instruction). Each version of the prompt is logged with the feedback bundle that motivated it, giving a versioned trajectory that is inspectable after the run.</w:t>
      </w:r>
    </w:p>
    <w:p>
      <w:pPr>
        <w:pStyle w:val="BodyText"/>
        <w:jc w:val="both"/>
        <w:keepNext w:val="0"/>
        <w:keepLines w:val="0"/>
        <w:widowControl w:val="1"/>
      </w:pPr>
      <w:r>
        <w:t xml:space="preserve">Each iteration the updater renders seven labeled blocks.</w:t>
      </w:r>
      <w:r>
        <w:t xml:space="preserve"> </w:t>
      </w:r>
      <w:r>
        <w:rPr>
          <w:b/>
          <w:bCs/>
        </w:rPr>
        <w:t xml:space="preserve">Table 2</w:t>
      </w:r>
      <w:r>
        <w:t xml:space="preserve"> </w:t>
      </w:r>
      <w:r>
        <w:t xml:space="preserve">gives the grammar of each block: what the critic produces, and what local rewrite the updater can produce in response. This table is the core conceptual claim of our architecture: structured named complaints admit locally targeted rewrites that a scalar reward does not.</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2" w:space="288" w:equalWidth="1"/>
          <w:docGrid w:linePitch="360"/>
        </w:sectPr>
      </w:pPr>
    </w:p>
    <w:p>
      <w:pPr>
        <w:pStyle w:val="TableCaption"/>
        <w:spacing w:before="240" w:after="60" w:line="240" w:lineRule="auto"/>
        <w:jc w:val="center"/>
        <w:keepNext/>
        <w:keepLines/>
        <w:widowControl w:val="1"/>
      </w:pPr>
      <w:r>
        <w:rPr>
          <w:b/>
          <w:i/>
        </w:rPr>
        <w:t>Table 2:</w:t>
      </w:r>
      <w:r>
        <w:rPr>
          <w:b w:val="0"/>
          <w:i/>
        </w:rPr>
        <w:t xml:space="preserve"> </w:t>
      </w:r>
      <w:r>
        <w:rPr>
          <w:b w:val="0"/>
          <w:i/>
        </w:rPr>
        <w:t>The complaint grammar of each critic. Each row gives the structured output the critic emits, and the kind of locally-targeted rewrite the updater can produce in response. Bottom four rows are the new GAN-style adversaries introduced in this paper.</w:t>
      </w:r>
    </w:p>
    <w:tbl>
      <w:tblPr>
        <w:tblStyle w:val="Table"/>
        <w:tblW w:type="pct" w:w="5000"/>
        <w:jc w:val="center"/>
        <w:tblLook w:firstRow="1" w:lastRow="0" w:firstColumn="0" w:lastColumn="0" w:noHBand="0" w:noVBand="0" w:val="0020"/>
        <w:tblCaption w:val="Table 2: The complaint grammar of each critic. Each row gives the structured output the critic emits, and the kind of locally-targeted rewrite the updater can produce in response. Bottom four rows are the new GAN-style adversaries introduced in this paper."/>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980"/>
        <w:gridCol w:w="1980"/>
        <w:gridCol w:w="1980"/>
        <w:gridCol w:w="198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Critic</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Returns</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Example complaint</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Updater can produce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Verifier</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list of failed attributes per sample with reason</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"sample S42 failed difficulty; the answer is too obvious for a hard label"</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Attribute-specific clause: "for hard examples, include indirect evidence and missing context"</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Realism Discriminator</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per-sample synthetic flags with named cues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"S42 was flagged synthetic: too polished, predictable structure"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Counter-instruction: "vary structure, allow incomplete thoughts"</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Diversity Auditor</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missing modes, overrepresented modes, near-duplicate rate, coverage map</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"missing: high-ambiguity negative examples; over: clean medium-length"</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Coverage push: "force greater than 10% of examples to be high-ambiguity negative"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Pack Discriminator</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pack accuracy + shared cross-sample patterns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"every pack uses 'Hi team' as the opener"</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Structural-variation clause: "rotate openers per sample"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Mode-Seeking</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scalar ratio + per-attribute distance matrix</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"changing style does not change text; per-attribute sensitivity[style] = 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Sensitivity-targeting clause: "each attribute change must produce a visible surface change"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Mode Hunter</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persistent library of banned phrasings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"banned: 'I understand your frustration', 'Thanks for reaching out'"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Forbidden block: "do not use any of the following phrasings"</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Coverage Hole Finder</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top-K uncovered real exemplars by density-ratio</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"the synthetic batch does not cover real examples like these: [3 uncovered real samples]"</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Stylistic anchoring: "match the style of the following real exemplars"</w:t>
            </w:r>
          </w:p>
        </w:tc>
      </w:tr>
    </w:tbl>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1" w:space="288"/>
          <w:docGrid w:linePitch="360"/>
        </w:sectPr>
      </w:pPr>
    </w:p>
    <w:p>
      <w:pPr>
        <w:pStyle w:val="BodyText"/>
        <w:jc w:val="both"/>
        <w:keepNext w:val="0"/>
        <w:keepLines w:val="0"/>
        <w:widowControl w:val="1"/>
      </w:pPr>
      <w:r>
        <w:t xml:space="preserve">The structured contract is what makes batch-level adversaries integrate cleanly into the same template as per-sample critics: every critic's output is a list of named items that the updater is asked to address one-by-one. Appendix A.1 expands on why structured complaints beat scalar rewards as feedback to a prompt updater, with a parallel evidence point from PerFine</w:t>
      </w:r>
      <w:r>
        <w:t xml:space="preserve"> </w:t>
      </w:r>
      <w:hyperlink w:anchor="ref-perfine">
        <w:r>
          <w:rPr>
            <w:rStyle w:val="Hyperlink"/>
          </w:rPr>
          <w:t xml:space="preserve">[45]</w:t>
        </w:r>
      </w:hyperlink>
      <w:r>
        <w:t xml:space="preserve">.</w:t>
      </w:r>
    </w:p>
    <w:bookmarkEnd w:id="31"/>
    <w:bookmarkEnd w:id="32"/>
    <w:bookmarkStart w:id="37" w:name="sec-adversaries"/>
    <w:p>
      <w:pPr>
        <w:pStyle w:val="Heading2"/>
        <w:keepNext/>
        <w:keepLines/>
        <w:widowControl w:val="1"/>
      </w:pPr>
      <w:r>
        <w:t xml:space="preserve">5</w:t>
      </w:r>
      <w:r>
        <w:t xml:space="preserve"> </w:t>
      </w:r>
      <w:r>
        <w:t xml:space="preserve">GAN-style mode-collapse adversaries</w:t>
      </w:r>
    </w:p>
    <w:p>
      <w:pPr>
        <w:pStyle w:val="FirstParagraph"/>
        <w:jc w:val="both"/>
        <w:keepNext w:val="0"/>
        <w:keepLines w:val="0"/>
        <w:widowControl w:val="1"/>
      </w:pPr>
      <w:r>
        <w:t xml:space="preserve">The three baseline critics solve the per-sample realism problem (each sample looks plausible) and the per-batch coverage problem (every attribute value is observed), but they leave open two failure modes well-known from the GAN literature:</w:t>
      </w:r>
      <w:r>
        <w:t xml:space="preserve"> </w:t>
      </w:r>
      <w:r>
        <w:rPr>
          <w:i/>
          <w:iCs/>
        </w:rPr>
        <w:t xml:space="preserve">plausible homogeneity</w:t>
      </w:r>
      <w:r>
        <w:t xml:space="preserve"> </w:t>
      </w:r>
      <w:r>
        <w:t xml:space="preserve">(every sample looks real individually; together they look like a fan of LLM regenerations) and</w:t>
      </w:r>
      <w:r>
        <w:t xml:space="preserve"> </w:t>
      </w:r>
      <w:r>
        <w:rPr>
          <w:i/>
          <w:iCs/>
        </w:rPr>
        <w:t xml:space="preserve">attribute-deaf generation</w:t>
      </w:r>
      <w:r>
        <w:t xml:space="preserve"> </w:t>
      </w:r>
      <w:r>
        <w:t xml:space="preserve">(the generator emits roughly the same text regardless of the requested attribute vector, while metadata correctly reflects it). We address both via a 2 × 2 grid: Pack Discriminator and Mode-Seeking target plausible homogeneity and attribute-deafness respectively; Mode Hunter and Coverage Hole Finder add cross-iteration memory and exemplar grounding. Appendix A.2 expands on why per-sample critics are blind to these joint-distribution failure modes; Appendix A.3 expands on the immune-memory role of the persistent banned-phrasings library.</w:t>
      </w:r>
    </w:p>
    <w:bookmarkStart w:id="33" w:name="sec-pack"/>
    <w:p>
      <w:pPr>
        <w:pStyle w:val="Heading3"/>
        <w:keepNext/>
        <w:keepLines/>
        <w:widowControl w:val="1"/>
      </w:pPr>
      <w:r>
        <w:t xml:space="preserve">5.1</w:t>
      </w:r>
      <w:r>
        <w:t xml:space="preserve"> </w:t>
      </w:r>
      <w:r>
        <w:t xml:space="preserve">Pack Discriminator (PacGAN analog)</w:t>
      </w:r>
    </w:p>
    <w:p>
      <w:pPr>
        <w:pStyle w:val="FirstParagraph"/>
        <w:jc w:val="both"/>
        <w:keepNext w:val="0"/>
        <w:keepLines w:val="0"/>
        <w:widowControl w:val="1"/>
      </w:pPr>
      <w:r>
        <w:t xml:space="preserve">The standard realism discriminator judges samples one at a time and is therefore blind to batch-level homogeneity. We adapt PacGAN: we construct</w:t>
      </w:r>
      <w:r>
        <w:t xml:space="preserve"> </w:t>
      </w:r>
      <m:oMath>
        <m:r>
          <m:t>M</m:t>
        </m:r>
      </m:oMath>
      <w:r>
        <w:t xml:space="preserve"> </w:t>
      </w:r>
      <w:r>
        <w:t xml:space="preserve">random pair comparisons; each pair contains a pack of</w:t>
      </w:r>
      <w:r>
        <w:t xml:space="preserve"> </w:t>
      </w:r>
      <m:oMath>
        <m:r>
          <m:t>k</m:t>
        </m:r>
      </m:oMath>
      <w:r>
        <w:t xml:space="preserve"> </w:t>
      </w:r>
      <w:r>
        <w:t xml:space="preserve">real samples and a pack of</w:t>
      </w:r>
      <w:r>
        <w:t xml:space="preserve"> </w:t>
      </w:r>
      <m:oMath>
        <m:r>
          <m:t>k</m:t>
        </m:r>
      </m:oMath>
      <w:r>
        <w:t xml:space="preserve"> </w:t>
      </w:r>
      <w:r>
        <w:t xml:space="preserve">synthetic samples; the judge is asked which pack is the LLM pack. Pack accuracy is:</w:t>
      </w:r>
    </w:p>
    <w:p>
      <w:pPr>
        <w:pStyle w:val="BodyText"/>
      </w:pPr>
      <m:oMathPara>
        <m:oMathParaPr>
          <m:jc m:val="center"/>
        </m:oMathParaPr>
        <m:oMath>
          <m:r>
            <m:rPr>
              <m:sty m:val="p"/>
            </m:rPr>
            <m:t>P</m:t>
          </m:r>
          <m:r>
            <m:rPr>
              <m:sty m:val="p"/>
            </m:rPr>
            <m:t>a</m:t>
          </m:r>
          <m:r>
            <m:rPr>
              <m:sty m:val="p"/>
            </m:rPr>
            <m:t>c</m:t>
          </m:r>
          <m:r>
            <m:rPr>
              <m:sty m:val="p"/>
            </m:rPr>
            <m:t>k</m:t>
          </m:r>
          <m:r>
            <m:rPr>
              <m:sty m:val="p"/>
            </m:rPr>
            <m:t>A</m:t>
          </m:r>
          <m:r>
            <m:rPr>
              <m:sty m:val="p"/>
            </m:rPr>
            <m:t>c</m:t>
          </m:r>
          <m:r>
            <m:rPr>
              <m:sty m:val="p"/>
            </m:rPr>
            <m:t>c</m:t>
          </m:r>
          <m:r>
            <m:t> </m:t>
          </m:r>
          <m:r>
            <m:rPr>
              <m:sty m:val="p"/>
            </m:rPr>
            <m:t>=</m:t>
          </m:r>
          <m:r>
            <m:t> </m:t>
          </m:r>
          <m:f>
            <m:fPr>
              <m:type m:val="bar"/>
            </m:fPr>
            <m:num>
              <m:r>
                <m:t>1</m:t>
              </m:r>
            </m:num>
            <m:den>
              <m:r>
                <m:t>M</m:t>
              </m:r>
            </m:den>
          </m:f>
          <m:nary>
            <m:naryPr>
              <m:chr m:val="∑"/>
              <m:limLoc m:val="undOvr"/>
              <m:subHide m:val="off"/>
              <m:supHide m:val="off"/>
            </m:naryPr>
            <m:sub>
              <m:r>
                <m:t>m</m:t>
              </m:r>
              <m:r>
                <m:rPr>
                  <m:sty m:val="p"/>
                </m:rPr>
                <m:t>=</m:t>
              </m:r>
              <m:r>
                <m:t>1</m:t>
              </m:r>
            </m:sub>
            <m:sup>
              <m:r>
                <m:t>M</m:t>
              </m:r>
            </m:sup>
            <m:e>
              <m:r>
                <m:rPr>
                  <m:sty m:val="b"/>
                </m:rPr>
                <m:t>1</m:t>
              </m:r>
            </m:e>
          </m:nary>
          <m:d>
            <m:dPr>
              <m:begChr m:val="{"/>
              <m:sepChr m:val=""/>
              <m:endChr m:val="}"/>
              <m:grow/>
            </m:dPr>
            <m:e>
              <m:sSub>
                <m:e>
                  <m:acc>
                    <m:accPr>
                      <m:chr m:val="̂"/>
                    </m:accPr>
                    <m:e>
                      <m:r>
                        <m:t>y</m:t>
                      </m:r>
                    </m:e>
                  </m:acc>
                </m:e>
                <m:sub>
                  <m:r>
                    <m:t>m</m:t>
                  </m:r>
                </m:sub>
              </m:sSub>
              <m:r>
                <m:rPr>
                  <m:sty m:val="p"/>
                </m:rPr>
                <m:t>=</m:t>
              </m:r>
              <m:sSub>
                <m:e>
                  <m:r>
                    <m:t>y</m:t>
                  </m:r>
                </m:e>
                <m:sub>
                  <m:r>
                    <m:t>m</m:t>
                  </m:r>
                </m:sub>
              </m:sSub>
            </m:e>
          </m:d>
          <m:r>
            <m:rPr>
              <m:sty m:val="p"/>
            </m:rPr>
            <m:t>.</m:t>
          </m:r>
        </m:oMath>
      </m:oMathPara>
    </w:p>
    <w:p>
      <w:pPr>
        <w:pStyle w:val="FirstParagraph"/>
        <w:jc w:val="both"/>
        <w:keepNext w:val="0"/>
        <w:keepLines w:val="0"/>
        <w:widowControl w:val="1"/>
      </w:pPr>
      <w:r>
        <w:t xml:space="preserve">Chance is</w:t>
      </w:r>
      <w:r>
        <w:t xml:space="preserve"> </w:t>
      </w:r>
      <m:oMath>
        <m:r>
          <m:t>0.5</m:t>
        </m:r>
      </m:oMath>
      <w:r>
        <w:t xml:space="preserve">. We also report a</w:t>
      </w:r>
      <w:r>
        <w:t xml:space="preserve"> </w:t>
      </w:r>
      <w:r>
        <w:rPr>
          <w:b/>
          <w:bCs/>
        </w:rPr>
        <w:t xml:space="preserve">null reference</w:t>
      </w:r>
      <w:r>
        <w:t xml:space="preserve"> </w:t>
      </w:r>
      <m:oMath>
        <m:sSub>
          <m:e>
            <m:r>
              <m:rPr>
                <m:sty m:val="p"/>
              </m:rPr>
              <m:t>P</m:t>
            </m:r>
            <m:r>
              <m:rPr>
                <m:sty m:val="p"/>
              </m:rPr>
              <m:t>a</m:t>
            </m:r>
            <m:r>
              <m:rPr>
                <m:sty m:val="p"/>
              </m:rPr>
              <m:t>c</m:t>
            </m:r>
            <m:r>
              <m:rPr>
                <m:sty m:val="p"/>
              </m:rPr>
              <m:t>k</m:t>
            </m:r>
            <m:r>
              <m:rPr>
                <m:sty m:val="p"/>
              </m:rPr>
              <m:t>A</m:t>
            </m:r>
            <m:r>
              <m:rPr>
                <m:sty m:val="p"/>
              </m:rPr>
              <m:t>c</m:t>
            </m:r>
            <m:r>
              <m:rPr>
                <m:sty m:val="p"/>
              </m:rPr>
              <m:t>c</m:t>
            </m:r>
          </m:e>
          <m:sub>
            <m:r>
              <m:rPr>
                <m:nor/>
                <m:sty m:val="p"/>
              </m:rPr>
              <m:t>null</m:t>
            </m:r>
          </m:sub>
        </m:sSub>
      </m:oMath>
      <w:r>
        <w:t xml:space="preserve"> </w:t>
      </w:r>
      <w:r>
        <w:t xml:space="preserve">computed by running the same discriminator on two real-vs-real splits, so the reader can distinguish "the data is collapsed" from "the discriminator is biased on this domain". The judge additionally returns the</w:t>
      </w:r>
      <w:r>
        <w:t xml:space="preserve"> </w:t>
      </w:r>
      <w:r>
        <w:rPr>
          <w:i/>
          <w:iCs/>
        </w:rPr>
        <w:t xml:space="preserve">shared patterns</w:t>
      </w:r>
      <w:r>
        <w:t xml:space="preserve"> </w:t>
      </w:r>
      <w:r>
        <w:t xml:space="preserve">it used (opener repetition, structural tics, phrase repetition); these are aggregated into a list that the updater renders as named complaints.</w:t>
      </w:r>
    </w:p>
    <w:bookmarkEnd w:id="33"/>
    <w:bookmarkStart w:id="34" w:name="sec-msgan"/>
    <w:p>
      <w:pPr>
        <w:pStyle w:val="Heading3"/>
        <w:keepNext/>
        <w:keepLines/>
        <w:widowControl w:val="1"/>
      </w:pPr>
      <w:r>
        <w:t xml:space="preserve">5.2</w:t>
      </w:r>
      <w:r>
        <w:t xml:space="preserve"> </w:t>
      </w:r>
      <w:r>
        <w:t xml:space="preserve">Mode-Seeking ratio (MSGAN analog)</w:t>
      </w:r>
    </w:p>
    <w:p>
      <w:pPr>
        <w:pStyle w:val="FirstParagraph"/>
        <w:jc w:val="both"/>
        <w:keepNext w:val="0"/>
        <w:keepLines w:val="0"/>
        <w:widowControl w:val="1"/>
      </w:pPr>
      <w:r>
        <w:t xml:space="preserve">MSGAN penalizes a generator when two different latent codes produce similar outputs. For SynSmith, the "latent code" is the target attribute vector. For every pair of samples:</w:t>
      </w:r>
    </w:p>
    <w:p>
      <w:pPr>
        <w:pStyle w:val="BodyText"/>
      </w:pPr>
      <m:oMathPara>
        <m:oMathParaPr>
          <m:jc m:val="center"/>
        </m:oMathParaPr>
        <m:oMath>
          <m:r>
            <m:rPr>
              <m:sty m:val="p"/>
            </m:rPr>
            <m:t>m</m:t>
          </m:r>
          <m:r>
            <m:rPr>
              <m:sty m:val="p"/>
            </m:rPr>
            <m:t>s</m:t>
          </m:r>
          <m:r>
            <m:rPr>
              <m:sty m:val="p"/>
            </m:rPr>
            <m:t>(</m:t>
          </m:r>
          <m:r>
            <m:t>i</m:t>
          </m:r>
          <m:r>
            <m:rPr>
              <m:sty m:val="p"/>
            </m:rPr>
            <m:t>,</m:t>
          </m:r>
          <m:r>
            <m:t>j</m:t>
          </m:r>
          <m:r>
            <m:rPr>
              <m:sty m:val="p"/>
            </m:rPr>
            <m:t>)</m:t>
          </m:r>
          <m:r>
            <m:t> </m:t>
          </m:r>
          <m:r>
            <m:rPr>
              <m:sty m:val="p"/>
            </m:rPr>
            <m:t>=</m:t>
          </m:r>
          <m:r>
            <m:t> </m:t>
          </m:r>
          <m:f>
            <m:fPr>
              <m:type m:val="bar"/>
            </m:fPr>
            <m:num>
              <m:r>
                <m:rPr>
                  <m:sty m:val="p"/>
                </m:rPr>
                <m:t>d</m:t>
              </m:r>
              <m:r>
                <m:rPr>
                  <m:sty m:val="p"/>
                </m:rPr>
                <m:t>i</m:t>
              </m:r>
              <m:r>
                <m:rPr>
                  <m:sty m:val="p"/>
                </m:rPr>
                <m:t>s</m:t>
              </m:r>
              <m:r>
                <m:rPr>
                  <m:sty m:val="p"/>
                </m:rPr>
                <m:t>t</m:t>
              </m:r>
              <m:r>
                <m:rPr>
                  <m:sty m:val="p"/>
                </m:rPr>
                <m:t>(</m:t>
              </m:r>
              <m:r>
                <m:t>ϕ</m:t>
              </m:r>
              <m:r>
                <m:rPr>
                  <m:sty m:val="p"/>
                </m:rPr>
                <m:t>(</m:t>
              </m:r>
              <m:sSub>
                <m:e>
                  <m:r>
                    <m:t>x</m:t>
                  </m:r>
                </m:e>
                <m:sub>
                  <m:r>
                    <m:t>i</m:t>
                  </m:r>
                </m:sub>
              </m:sSub>
              <m:r>
                <m:rPr>
                  <m:sty m:val="p"/>
                </m:rPr>
                <m:t>)</m:t>
              </m:r>
              <m:r>
                <m:rPr>
                  <m:sty m:val="p"/>
                </m:rPr>
                <m:t>,</m:t>
              </m:r>
              <m:r>
                <m:t> </m:t>
              </m:r>
              <m:r>
                <m:t>ϕ</m:t>
              </m:r>
              <m:r>
                <m:rPr>
                  <m:sty m:val="p"/>
                </m:rPr>
                <m:t>(</m:t>
              </m:r>
              <m:sSub>
                <m:e>
                  <m:r>
                    <m:t>x</m:t>
                  </m:r>
                </m:e>
                <m:sub>
                  <m:r>
                    <m:t>j</m:t>
                  </m:r>
                </m:sub>
              </m:sSub>
              <m:r>
                <m:rPr>
                  <m:sty m:val="p"/>
                </m:rPr>
                <m:t>)</m:t>
              </m:r>
              <m:r>
                <m:rPr>
                  <m:sty m:val="p"/>
                </m:rPr>
                <m:t>)</m:t>
              </m:r>
            </m:num>
            <m:den>
              <m:r>
                <m:rPr>
                  <m:sty m:val="p"/>
                </m:rPr>
                <m:t>max</m:t>
              </m:r>
              <m:d>
                <m:dPr>
                  <m:begChr m:val="("/>
                  <m:sepChr m:val=""/>
                  <m:endChr m:val=")"/>
                  <m:grow/>
                </m:dPr>
                <m:e>
                  <m:r>
                    <m:t>1</m:t>
                  </m:r>
                  <m:r>
                    <m:rPr>
                      <m:sty m:val="p"/>
                    </m:rPr>
                    <m:t>,</m:t>
                  </m:r>
                  <m:r>
                    <m:t> </m:t>
                  </m:r>
                  <m:r>
                    <m:rPr>
                      <m:sty m:val="p"/>
                    </m:rPr>
                    <m:t>H</m:t>
                  </m:r>
                  <m:r>
                    <m:rPr>
                      <m:sty m:val="p"/>
                    </m:rPr>
                    <m:t>a</m:t>
                  </m:r>
                  <m:r>
                    <m:rPr>
                      <m:sty m:val="p"/>
                    </m:rPr>
                    <m:t>m</m:t>
                  </m:r>
                  <m:r>
                    <m:rPr>
                      <m:sty m:val="p"/>
                    </m:rPr>
                    <m:t>m</m:t>
                  </m:r>
                  <m:r>
                    <m:rPr>
                      <m:sty m:val="p"/>
                    </m:rPr>
                    <m:t>i</m:t>
                  </m:r>
                  <m:r>
                    <m:rPr>
                      <m:sty m:val="p"/>
                    </m:rPr>
                    <m:t>n</m:t>
                  </m:r>
                  <m:r>
                    <m:rPr>
                      <m:sty m:val="p"/>
                    </m:rPr>
                    <m:t>g</m:t>
                  </m:r>
                  <m:r>
                    <m:rPr>
                      <m:sty m:val="p"/>
                    </m:rPr>
                    <m:t>(</m:t>
                  </m:r>
                  <m:sSub>
                    <m:e>
                      <m:r>
                        <m:rPr>
                          <m:sty m:val="bi"/>
                        </m:rPr>
                        <m:t>z</m:t>
                      </m:r>
                    </m:e>
                    <m:sub>
                      <m:r>
                        <m:t>i</m:t>
                      </m:r>
                    </m:sub>
                  </m:sSub>
                  <m:r>
                    <m:rPr>
                      <m:sty m:val="p"/>
                    </m:rPr>
                    <m:t>,</m:t>
                  </m:r>
                  <m:sSub>
                    <m:e>
                      <m:r>
                        <m:rPr>
                          <m:sty m:val="bi"/>
                        </m:rPr>
                        <m:t>z</m:t>
                      </m:r>
                    </m:e>
                    <m:sub>
                      <m:r>
                        <m:t>j</m:t>
                      </m:r>
                    </m:sub>
                  </m:sSub>
                  <m:r>
                    <m:rPr>
                      <m:sty m:val="p"/>
                    </m:rPr>
                    <m:t>)</m:t>
                  </m:r>
                </m:e>
              </m:d>
            </m:den>
          </m:f>
          <m:r>
            <m:rPr>
              <m:sty m:val="p"/>
            </m:rPr>
            <m:t>.</m:t>
          </m:r>
        </m:oMath>
      </m:oMathPara>
    </w:p>
    <w:p>
      <w:pPr>
        <w:pStyle w:val="FirstParagraph"/>
        <w:jc w:val="both"/>
        <w:keepNext w:val="0"/>
        <w:keepLines w:val="0"/>
        <w:widowControl w:val="1"/>
      </w:pPr>
      <w:r>
        <w:t xml:space="preserve">The batch scalar is the pair mean. To make the absolute number interpretable we additionally compute the same scalar on the real seed set,</w:t>
      </w:r>
      <w:r>
        <w:t xml:space="preserve"> </w:t>
      </w:r>
      <m:oMath>
        <m:sSub>
          <m:e>
            <m:r>
              <m:rPr>
                <m:sty m:val="p"/>
              </m:rPr>
              <m:t>m</m:t>
            </m:r>
            <m:r>
              <m:rPr>
                <m:sty m:val="p"/>
              </m:rPr>
              <m:t>s</m:t>
            </m:r>
          </m:e>
          <m:sub>
            <m:r>
              <m:t>R</m:t>
            </m:r>
          </m:sub>
        </m:sSub>
      </m:oMath>
      <w:r>
        <w:t xml:space="preserve">, and report the ratio</w:t>
      </w:r>
      <w:r>
        <w:t xml:space="preserve"> </w:t>
      </w:r>
      <m:oMath>
        <m:bar>
          <m:barPr>
            <m:pos m:val="top"/>
          </m:barPr>
          <m:e>
            <m:r>
              <m:rPr>
                <m:sty m:val="p"/>
              </m:rPr>
              <m:t>m</m:t>
            </m:r>
            <m:r>
              <m:rPr>
                <m:sty m:val="p"/>
              </m:rPr>
              <m:t>s</m:t>
            </m:r>
          </m:e>
        </m:bar>
        <m:r>
          <m:rPr>
            <m:sty m:val="p"/>
          </m:rPr>
          <m:t>/</m:t>
        </m:r>
        <m:sSub>
          <m:e>
            <m:r>
              <m:rPr>
                <m:sty m:val="p"/>
              </m:rPr>
              <m:t>m</m:t>
            </m:r>
            <m:r>
              <m:rPr>
                <m:sty m:val="p"/>
              </m:rPr>
              <m:t>s</m:t>
            </m:r>
          </m:e>
          <m:sub>
            <m:r>
              <m:t>R</m:t>
            </m:r>
          </m:sub>
        </m:sSub>
      </m:oMath>
      <w:r>
        <w:t xml:space="preserve">: values near</w:t>
      </w:r>
      <w:r>
        <w:t xml:space="preserve"> </w:t>
      </w:r>
      <m:oMath>
        <m:r>
          <m:t>1.0</m:t>
        </m:r>
      </m:oMath>
      <w:r>
        <w:t xml:space="preserve"> </w:t>
      </w:r>
      <w:r>
        <w:t xml:space="preserve">indicate that synthetic surface variation scales with attribute variation at the rate observed in real data, values</w:t>
      </w:r>
      <w:r>
        <w:t xml:space="preserve"> </w:t>
      </w:r>
      <m:oMath>
        <m:r>
          <m:rPr>
            <m:sty m:val="p"/>
          </m:rPr>
          <m:t>≪</m:t>
        </m:r>
        <m:r>
          <m:t>1.0</m:t>
        </m:r>
      </m:oMath>
      <w:r>
        <w:t xml:space="preserve"> </w:t>
      </w:r>
      <w:r>
        <w:t xml:space="preserve">indicate attribute-deaf generation. We additionally report a per-attribute sensitivity matrix.</w:t>
      </w:r>
    </w:p>
    <w:bookmarkEnd w:id="34"/>
    <w:bookmarkStart w:id="35" w:name="sec-hunter"/>
    <w:p>
      <w:pPr>
        <w:pStyle w:val="Heading3"/>
        <w:keepNext/>
        <w:keepLines/>
        <w:widowControl w:val="1"/>
      </w:pPr>
      <w:r>
        <w:t xml:space="preserve">5.3</w:t>
      </w:r>
      <w:r>
        <w:t xml:space="preserve"> </w:t>
      </w:r>
      <w:r>
        <w:t xml:space="preserve">Mode Hunter and the banned-phrasings library</w:t>
      </w:r>
    </w:p>
    <w:p>
      <w:pPr>
        <w:pStyle w:val="FirstParagraph"/>
        <w:jc w:val="both"/>
        <w:keepNext w:val="0"/>
        <w:keepLines w:val="0"/>
        <w:widowControl w:val="1"/>
      </w:pPr>
      <w:r>
        <w:t xml:space="preserve">Each iteration the Mode Hunter is asked to find</w:t>
      </w:r>
      <w:r>
        <w:t xml:space="preserve"> </w:t>
      </w:r>
      <w:r>
        <w:rPr>
          <w:i/>
          <w:iCs/>
        </w:rPr>
        <w:t xml:space="preserve">up to four</w:t>
      </w:r>
      <w:r>
        <w:t xml:space="preserve"> </w:t>
      </w:r>
      <w:r>
        <w:t xml:space="preserve">concrete substrings or structural tics that (i) appear in</w:t>
      </w:r>
      <w:r>
        <w:t xml:space="preserve"> </w:t>
      </w:r>
      <m:oMath>
        <m:r>
          <m:rPr>
            <m:sty m:val="p"/>
          </m:rPr>
          <m:t>≥</m:t>
        </m:r>
        <m:r>
          <m:t>m</m:t>
        </m:r>
      </m:oMath>
      <w:r>
        <w:t xml:space="preserve"> </w:t>
      </w:r>
      <w:r>
        <w:t xml:space="preserve">synthetic samples (a tunable threshold; we use</w:t>
      </w:r>
      <w:r>
        <w:t xml:space="preserve"> </w:t>
      </w:r>
      <m:oMath>
        <m:r>
          <m:t>m</m:t>
        </m:r>
        <m:r>
          <m:rPr>
            <m:sty m:val="p"/>
          </m:rPr>
          <m:t>=</m:t>
        </m:r>
        <m:r>
          <m:t>1</m:t>
        </m:r>
      </m:oMath>
      <w:r>
        <w:t xml:space="preserve"> </w:t>
      </w:r>
      <w:r>
        <w:t xml:space="preserve">in our headline run because</w:t>
      </w:r>
      <w:r>
        <w:t xml:space="preserve"> </w:t>
      </w:r>
      <m:oMath>
        <m:sSub>
          <m:e>
            <m:r>
              <m:t>n</m:t>
            </m:r>
          </m:e>
          <m:sub>
            <m:r>
              <m:rPr>
                <m:nor/>
                <m:sty m:val="p"/>
              </m:rPr>
              <m:t>batch</m:t>
            </m:r>
          </m:sub>
        </m:sSub>
        <m:r>
          <m:rPr>
            <m:sty m:val="p"/>
          </m:rPr>
          <m:t>=</m:t>
        </m:r>
        <m:r>
          <m:t>16</m:t>
        </m:r>
      </m:oMath>
      <w:r>
        <w:t xml:space="preserve"> </w:t>
      </w:r>
      <w:r>
        <w:t xml:space="preserve">is small enough that requiring</w:t>
      </w:r>
      <w:r>
        <w:t xml:space="preserve"> </w:t>
      </w:r>
      <m:oMath>
        <m:r>
          <m:rPr>
            <m:sty m:val="p"/>
          </m:rPr>
          <m:t>≥</m:t>
        </m:r>
        <m:r>
          <m:t>2</m:t>
        </m:r>
      </m:oMath>
      <w:r>
        <w:t xml:space="preserve"> </w:t>
      </w:r>
      <w:r>
        <w:t xml:space="preserve">co-occurrences misses most tics in expectation), (ii) appear in</w:t>
      </w:r>
      <w:r>
        <w:t xml:space="preserve"> </w:t>
      </w:r>
      <m:oMath>
        <m:r>
          <m:t>0</m:t>
        </m:r>
      </m:oMath>
      <w:r>
        <w:t xml:space="preserve"> </w:t>
      </w:r>
      <w:r>
        <w:t xml:space="preserve">real samples, and (iii) are not already in the persistent library. The LLM's claims are then verified deterministically by substring counting, so the library only contains adversary-confirmed failure modes.</w:t>
      </w:r>
    </w:p>
    <w:p>
      <w:pPr>
        <w:pStyle w:val="BodyText"/>
        <w:jc w:val="both"/>
        <w:keepNext w:val="0"/>
        <w:keepLines w:val="0"/>
        <w:widowControl w:val="1"/>
      </w:pPr>
      <w:r>
        <w:t xml:space="preserve">The library is</w:t>
      </w:r>
      <w:r>
        <w:t xml:space="preserve"> </w:t>
      </w:r>
      <w:r>
        <w:rPr>
          <w:i/>
          <w:iCs/>
        </w:rPr>
        <w:t xml:space="preserve">persistent across iterations</w:t>
      </w:r>
      <w:r>
        <w:t xml:space="preserve">. Every previously identified failure pattern is rendered into the next generator prompt as a "do not use" instruction. A cap of 50 entries bounds prompt bloat.</w:t>
      </w:r>
    </w:p>
    <w:bookmarkEnd w:id="35"/>
    <w:bookmarkStart w:id="36" w:name="sec-cov-hole"/>
    <w:p>
      <w:pPr>
        <w:pStyle w:val="Heading3"/>
        <w:keepNext/>
        <w:keepLines/>
        <w:widowControl w:val="1"/>
      </w:pPr>
      <w:r>
        <w:t xml:space="preserve">5.4</w:t>
      </w:r>
      <w:r>
        <w:t xml:space="preserve"> </w:t>
      </w:r>
      <w:r>
        <w:t xml:space="preserve">Coverage Hole Finder (density-ratio coverage)</w:t>
      </w:r>
    </w:p>
    <w:p>
      <w:pPr>
        <w:pStyle w:val="FirstParagraph"/>
        <w:jc w:val="both"/>
        <w:keepNext w:val="0"/>
        <w:keepLines w:val="0"/>
        <w:widowControl w:val="1"/>
      </w:pPr>
      <w:r>
        <w:t xml:space="preserve">We construct the GAN-style density ratio explicitly with a logistic regression classifier on TF-IDF features, trained on the binary task of separating real from synthetic. For each</w:t>
      </w:r>
      <w:r>
        <w:t xml:space="preserve"> </w:t>
      </w:r>
      <w:r>
        <w:rPr>
          <w:i/>
          <w:iCs/>
        </w:rPr>
        <w:t xml:space="preserve">real</w:t>
      </w:r>
      <w:r>
        <w:t xml:space="preserve"> </w:t>
      </w:r>
      <w:r>
        <w:t xml:space="preserve">sample we then compute</w:t>
      </w:r>
      <w:r>
        <w:t xml:space="preserve"> </w:t>
      </w:r>
      <m:oMath>
        <m:sSub>
          <m:e>
            <m:acc>
              <m:accPr>
                <m:chr m:val="̂"/>
              </m:accPr>
              <m:e>
                <m:r>
                  <m:t>p</m:t>
                </m:r>
              </m:e>
            </m:acc>
          </m:e>
          <m:sub>
            <m:r>
              <m:rPr>
                <m:nor/>
                <m:sty m:val="p"/>
              </m:rPr>
              <m:t>real</m:t>
            </m:r>
          </m:sub>
        </m:sSub>
        <m:r>
          <m:rPr>
            <m:sty m:val="p"/>
          </m:rPr>
          <m:t>(</m:t>
        </m:r>
        <m:r>
          <m:t>x</m:t>
        </m:r>
        <m:r>
          <m:rPr>
            <m:sty m:val="p"/>
          </m:rPr>
          <m:t>)</m:t>
        </m:r>
      </m:oMath>
      <w:r>
        <w:t xml:space="preserve">; the top</w:t>
      </w:r>
      <w:r>
        <w:t xml:space="preserve"> </w:t>
      </w:r>
      <m:oMath>
        <m:r>
          <m:t>K</m:t>
        </m:r>
      </m:oMath>
      <w:r>
        <w:t xml:space="preserve"> </w:t>
      </w:r>
      <w:r>
        <w:t xml:space="preserve">uncovered real exemplars are those the classifier is most confident about:</w:t>
      </w:r>
    </w:p>
    <w:p>
      <w:pPr>
        <w:pStyle w:val="BodyText"/>
      </w:pPr>
      <m:oMathPara>
        <m:oMathParaPr>
          <m:jc m:val="center"/>
        </m:oMathParaPr>
        <m:oMath>
          <m:sSub>
            <m:e>
              <m:r>
                <m:t>H</m:t>
              </m:r>
            </m:e>
            <m:sub>
              <m:r>
                <m:t>K</m:t>
              </m:r>
            </m:sub>
          </m:sSub>
          <m:r>
            <m:t> </m:t>
          </m:r>
          <m:r>
            <m:rPr>
              <m:sty m:val="p"/>
            </m:rPr>
            <m:t>=</m:t>
          </m:r>
          <m:r>
            <m:t> </m:t>
          </m:r>
          <m:r>
            <m:rPr>
              <m:sty m:val="p"/>
            </m:rPr>
            <m:t>arg</m:t>
          </m:r>
          <m:r>
            <m:t>​</m:t>
          </m:r>
          <m:sSub>
            <m:e>
              <m:r>
                <m:rPr>
                  <m:sty m:val="p"/>
                </m:rPr>
                <m:t>max</m:t>
              </m:r>
            </m:e>
            <m:sub>
              <m:r>
                <m:t>x</m:t>
              </m:r>
              <m:r>
                <m:rPr>
                  <m:sty m:val="p"/>
                </m:rPr>
                <m:t>∈</m:t>
              </m:r>
              <m:r>
                <m:t>R</m:t>
              </m:r>
              <m:r>
                <m:rPr>
                  <m:sty m:val="p"/>
                </m:rPr>
                <m:t>,</m:t>
              </m:r>
              <m:r>
                <m:rPr>
                  <m:sty m:val="p"/>
                </m:rPr>
                <m:t>|</m:t>
              </m:r>
              <m:sSub>
                <m:e>
                  <m:r>
                    <m:t>H</m:t>
                  </m:r>
                </m:e>
                <m:sub>
                  <m:r>
                    <m:t>K</m:t>
                  </m:r>
                </m:sub>
              </m:sSub>
              <m:r>
                <m:rPr>
                  <m:sty m:val="p"/>
                </m:rPr>
                <m:t>|</m:t>
              </m:r>
              <m:r>
                <m:rPr>
                  <m:sty m:val="p"/>
                </m:rPr>
                <m:t>=</m:t>
              </m:r>
              <m:r>
                <m:t>K</m:t>
              </m:r>
            </m:sub>
          </m:sSub>
          <m:r>
            <m:t> </m:t>
          </m:r>
          <m:sSub>
            <m:e>
              <m:acc>
                <m:accPr>
                  <m:chr m:val="̂"/>
                </m:accPr>
                <m:e>
                  <m:r>
                    <m:t>p</m:t>
                  </m:r>
                </m:e>
              </m:acc>
            </m:e>
            <m:sub>
              <m:r>
                <m:rPr>
                  <m:nor/>
                  <m:sty m:val="p"/>
                </m:rPr>
                <m:t>real</m:t>
              </m:r>
            </m:sub>
          </m:sSub>
          <m:r>
            <m:rPr>
              <m:sty m:val="p"/>
            </m:rPr>
            <m:t>(</m:t>
          </m:r>
          <m:r>
            <m:t>x</m:t>
          </m:r>
          <m:r>
            <m:rPr>
              <m:sty m:val="p"/>
            </m:rPr>
            <m:t>)</m:t>
          </m:r>
          <m:r>
            <m:rPr>
              <m:sty m:val="p"/>
            </m:rPr>
            <m:t>.</m:t>
          </m:r>
        </m:oMath>
      </m:oMathPara>
    </w:p>
    <w:p>
      <w:pPr>
        <w:pStyle w:val="FirstParagraph"/>
        <w:jc w:val="both"/>
        <w:keepNext w:val="0"/>
        <w:keepLines w:val="0"/>
        <w:widowControl w:val="1"/>
      </w:pPr>
      <w:r>
        <w:t xml:space="preserve">The classifier's overall AUROC is itself a coverage signal: AUROC</w:t>
      </w:r>
      <w:r>
        <w:t xml:space="preserve"> </w:t>
      </w:r>
      <m:oMath>
        <m:r>
          <m:rPr>
            <m:sty m:val="p"/>
          </m:rPr>
          <m:t>→</m:t>
        </m:r>
        <m:r>
          <m:t>0.5</m:t>
        </m:r>
      </m:oMath>
      <w:r>
        <w:t xml:space="preserve"> </w:t>
      </w:r>
      <w:r>
        <w:t xml:space="preserve">means the synthetic distribution covers the real one; AUROC</w:t>
      </w:r>
      <w:r>
        <w:t xml:space="preserve"> </w:t>
      </w:r>
      <m:oMath>
        <m:r>
          <m:rPr>
            <m:sty m:val="p"/>
          </m:rPr>
          <m:t>→</m:t>
        </m:r>
        <m:r>
          <m:t>1.0</m:t>
        </m:r>
      </m:oMath>
      <w:r>
        <w:t xml:space="preserve"> </w:t>
      </w:r>
      <w:r>
        <w:t xml:space="preserve">means the two are perfectly separable (a coverage failure). The top exemplars are rendered into the next prompt as positive few-shot anchors.</w:t>
      </w:r>
    </w:p>
    <w:p>
      <w:pPr>
        <w:pStyle w:val="BodyText"/>
        <w:jc w:val="both"/>
        <w:keepNext w:val="0"/>
        <w:keepLines w:val="0"/>
        <w:widowControl w:val="1"/>
      </w:pPr>
      <w:r>
        <w:rPr>
          <w:i/>
          <w:iCs/>
        </w:rPr>
        <w:t xml:space="preserve">Remark on symmetry.</w:t>
      </w:r>
      <w:r>
        <w:t xml:space="preserve"> </w:t>
      </w:r>
      <w:r>
        <w:t xml:space="preserve">The Pack Discriminator and Mode Hunter emit named, falsifiable complaints (pack patterns, banned substrings) and integrate cleanly with the updater template. Mode-Seeking and Coverage Hole Finder emit deterministic scalar/vector outputs and a structured exemplar list; the updater renders these into named clauses, but the symmetry is partial. We discuss this asymmetry in</w:t>
      </w:r>
      <w:r>
        <w:t xml:space="preserve"> </w:t>
      </w:r>
      <w:hyperlink w:anchor="sec-limitations">
        <w:r>
          <w:rPr>
            <w:rStyle w:val="Hyperlink"/>
          </w:rPr>
          <w:t xml:space="preserve">Section 10</w:t>
        </w:r>
      </w:hyperlink>
      <w:r>
        <w:t xml:space="preserve">.</w:t>
      </w:r>
    </w:p>
    <w:bookmarkEnd w:id="36"/>
    <w:bookmarkEnd w:id="37"/>
    <w:bookmarkStart w:id="43" w:name="sec-experiments"/>
    <w:p>
      <w:pPr>
        <w:pStyle w:val="Heading2"/>
        <w:keepNext/>
        <w:keepLines/>
        <w:widowControl w:val="1"/>
      </w:pPr>
      <w:r>
        <w:t xml:space="preserve">6</w:t>
      </w:r>
      <w:r>
        <w:t xml:space="preserve"> </w:t>
      </w:r>
      <w:r>
        <w:t xml:space="preserve">Experimental setup</w:t>
      </w:r>
    </w:p>
    <w:bookmarkStart w:id="38" w:name="task-and-dataset"/>
    <w:p>
      <w:pPr>
        <w:pStyle w:val="Heading3"/>
        <w:keepNext/>
        <w:keepLines/>
        <w:widowControl w:val="1"/>
      </w:pPr>
      <w:r>
        <w:t xml:space="preserve">6.1</w:t>
      </w:r>
      <w:r>
        <w:t xml:space="preserve"> </w:t>
      </w:r>
      <w:r>
        <w:t xml:space="preserve">Task and dataset</w:t>
      </w:r>
    </w:p>
    <w:p>
      <w:pPr>
        <w:pStyle w:val="FirstParagraph"/>
        <w:jc w:val="both"/>
        <w:keepNext w:val="0"/>
        <w:keepLines w:val="0"/>
        <w:widowControl w:val="1"/>
      </w:pPr>
      <w:r>
        <w:t xml:space="preserve">We evaluate on customer-support intent classification with five classes (</w:t>
      </w:r>
      <w:r>
        <w:rPr>
          <w:rStyle w:val="VerbatimChar"/>
        </w:rPr>
        <w:t xml:space="preserve">refund_request</w:t>
      </w:r>
      <w:r>
        <w:t xml:space="preserve">,</w:t>
      </w:r>
      <w:r>
        <w:t xml:space="preserve"> </w:t>
      </w:r>
      <w:r>
        <w:rPr>
          <w:rStyle w:val="VerbatimChar"/>
        </w:rPr>
        <w:t xml:space="preserve">technical_problem</w:t>
      </w:r>
      <w:r>
        <w:t xml:space="preserve">,</w:t>
      </w:r>
      <w:r>
        <w:t xml:space="preserve"> </w:t>
      </w:r>
      <w:r>
        <w:rPr>
          <w:rStyle w:val="VerbatimChar"/>
        </w:rPr>
        <w:t xml:space="preserve">account_issue</w:t>
      </w:r>
      <w:r>
        <w:t xml:space="preserve">,</w:t>
      </w:r>
      <w:r>
        <w:t xml:space="preserve"> </w:t>
      </w:r>
      <w:r>
        <w:rPr>
          <w:rStyle w:val="VerbatimChar"/>
        </w:rPr>
        <w:t xml:space="preserve">complaint</w:t>
      </w:r>
      <w:r>
        <w:t xml:space="preserve">,</w:t>
      </w:r>
      <w:r>
        <w:t xml:space="preserve"> </w:t>
      </w:r>
      <w:r>
        <w:rPr>
          <w:rStyle w:val="VerbatimChar"/>
        </w:rPr>
        <w:t xml:space="preserve">general_question</w:t>
      </w:r>
      <w:r>
        <w:t xml:space="preserve">) and six attributes (label, difficulty, ambiguity, style, noise, scenario type). The real seed set contains</w:t>
      </w:r>
      <w:r>
        <w:t xml:space="preserve"> </w:t>
      </w:r>
      <m:oMath>
        <m:sSub>
          <m:e>
            <m:r>
              <m:t>N</m:t>
            </m:r>
          </m:e>
          <m:sub>
            <m:r>
              <m:t>r</m:t>
            </m:r>
          </m:sub>
        </m:sSub>
        <m:r>
          <m:rPr>
            <m:sty m:val="p"/>
          </m:rPr>
          <m:t>=</m:t>
        </m:r>
        <m:r>
          <m:t>40</m:t>
        </m:r>
      </m:oMath>
      <w:r>
        <w:t xml:space="preserve"> </w:t>
      </w:r>
      <w:r>
        <w:t xml:space="preserve">examples balanced across labels. A stratified split holds out</w:t>
      </w:r>
      <w:r>
        <w:t xml:space="preserve"> </w:t>
      </w:r>
      <m:oMath>
        <m:sSub>
          <m:e>
            <m:r>
              <m:t>N</m:t>
            </m:r>
          </m:e>
          <m:sub>
            <m:r>
              <m:rPr>
                <m:nor/>
                <m:sty m:val="p"/>
              </m:rPr>
              <m:t>test</m:t>
            </m:r>
          </m:sub>
        </m:sSub>
        <m:r>
          <m:rPr>
            <m:sty m:val="p"/>
          </m:rPr>
          <m:t>=</m:t>
        </m:r>
        <m:r>
          <m:t>10</m:t>
        </m:r>
      </m:oMath>
      <w:r>
        <w:t xml:space="preserve"> </w:t>
      </w:r>
      <w:r>
        <w:t xml:space="preserve">examples for downstream evaluation; the remaining</w:t>
      </w:r>
      <w:r>
        <w:t xml:space="preserve"> </w:t>
      </w:r>
      <m:oMath>
        <m:r>
          <m:t>30</m:t>
        </m:r>
      </m:oMath>
      <w:r>
        <w:t xml:space="preserve"> </w:t>
      </w:r>
      <w:r>
        <w:t xml:space="preserve">are available to the generator as few-shot anchors and to the critics as the "real" half of every comparison.</w:t>
      </w:r>
    </w:p>
    <w:bookmarkEnd w:id="38"/>
    <w:bookmarkStart w:id="39" w:name="backends"/>
    <w:p>
      <w:pPr>
        <w:pStyle w:val="Heading3"/>
        <w:keepNext/>
        <w:keepLines/>
        <w:widowControl w:val="1"/>
      </w:pPr>
      <w:r>
        <w:t xml:space="preserve">6.2</w:t>
      </w:r>
      <w:r>
        <w:t xml:space="preserve"> </w:t>
      </w:r>
      <w:r>
        <w:t xml:space="preserve">Backends</w:t>
      </w:r>
    </w:p>
    <w:p>
      <w:pPr>
        <w:pStyle w:val="FirstParagraph"/>
        <w:jc w:val="both"/>
        <w:keepNext w:val="0"/>
        <w:keepLines w:val="0"/>
        <w:widowControl w:val="1"/>
      </w:pPr>
      <w:r>
        <w:t xml:space="preserve">The critics, generator, and updater are backend-agnostic. The headline results in Section 7 use</w:t>
      </w:r>
      <w:r>
        <w:t xml:space="preserve"> </w:t>
      </w:r>
      <w:r>
        <w:rPr>
          <w:rStyle w:val="VerbatimChar"/>
        </w:rPr>
        <w:t xml:space="preserve">gpt-4o-mini</w:t>
      </w:r>
      <w:r>
        <w:t xml:space="preserve"> </w:t>
      </w:r>
      <w:r>
        <w:t xml:space="preserve">as both generator and every critic, across 10 random seeds (17, 23, 41, 53, 89, 101, 109, 127, 137, 149), 7 conditions, and 3 iterations of 16 samples each (70 condition-runs in total on customer-support). Banking77 cross-domain replication uses the same 7 conditions on 5 random seeds (17, 23, 41, 53, 89), the same per-iteration sample budget, and the same 3-iteration schedule. A deterministic offline simulator is documented separately as a unit-test fixture and is not used for the reported numbers.</w:t>
      </w:r>
    </w:p>
    <w:bookmarkEnd w:id="39"/>
    <w:bookmarkStart w:id="40" w:name="conditions"/>
    <w:p>
      <w:pPr>
        <w:pStyle w:val="Heading3"/>
        <w:keepNext/>
        <w:keepLines/>
        <w:widowControl w:val="1"/>
      </w:pPr>
      <w:r>
        <w:t xml:space="preserve">6.3</w:t>
      </w:r>
      <w:r>
        <w:t xml:space="preserve"> </w:t>
      </w:r>
      <w:r>
        <w:t xml:space="preserve">Conditions</w:t>
      </w:r>
    </w:p>
    <w:p>
      <w:pPr>
        <w:pStyle w:val="FirstParagraph"/>
        <w:jc w:val="both"/>
        <w:keepNext w:val="0"/>
        <w:keepLines w:val="0"/>
        <w:widowControl w:val="1"/>
      </w:pPr>
      <w:r>
        <w:rPr>
          <w:b/>
          <w:bCs/>
        </w:rPr>
        <w:t xml:space="preserve">SynSmith</w:t>
      </w:r>
      <w:r>
        <w:t xml:space="preserve"> </w:t>
      </w:r>
      <w:r>
        <w:t xml:space="preserve">is the seven-critic configuration (Verifier, Realism Discriminator, Diversity Auditor, Pack, Mode-Seeking, Mode Hunter, Coverage Hole Finder) iterated for three rounds with the Updater rewriting the generator prompt each round; it is the highlighted row of Table 3.</w:t>
      </w:r>
      <w:r>
        <w:t xml:space="preserve"> </w:t>
      </w:r>
      <w:r>
        <w:rPr>
          <w:b/>
          <w:bCs/>
        </w:rPr>
        <w:t xml:space="preserve">Baseline-3C</w:t>
      </w:r>
      <w:r>
        <w:t xml:space="preserve"> </w:t>
      </w:r>
      <w:r>
        <w:t xml:space="preserve">is the three-critic baseline (Verifier, Realism Discriminator, Diversity Auditor; the four GAN-style adversaries off), iterated identically; it is the within-paper ablation that isolates the contribution of the four GAN-style adversaries. The remaining baselines (</w:t>
      </w:r>
      <w:r>
        <w:rPr>
          <w:b/>
          <w:bCs/>
        </w:rPr>
        <w:t xml:space="preserve">Naive</w:t>
      </w:r>
      <w:r>
        <w:t xml:space="preserve">,</w:t>
      </w:r>
      <w:r>
        <w:t xml:space="preserve"> </w:t>
      </w:r>
      <w:r>
        <w:rPr>
          <w:b/>
          <w:bCs/>
        </w:rPr>
        <w:t xml:space="preserve">Few-shot</w:t>
      </w:r>
      <w:r>
        <w:t xml:space="preserve">,</w:t>
      </w:r>
      <w:r>
        <w:t xml:space="preserve"> </w:t>
      </w:r>
      <w:r>
        <w:rPr>
          <w:b/>
          <w:bCs/>
        </w:rPr>
        <w:t xml:space="preserve">Self-critique</w:t>
      </w:r>
      <w:r>
        <w:t xml:space="preserve">,</w:t>
      </w:r>
      <w:r>
        <w:t xml:space="preserve"> </w:t>
      </w:r>
      <w:r>
        <w:rPr>
          <w:b/>
          <w:bCs/>
        </w:rPr>
        <w:t xml:space="preserve">Realism-only</w:t>
      </w:r>
      <w:r>
        <w:t xml:space="preserve">,</w:t>
      </w:r>
      <w:r>
        <w:t xml:space="preserve"> </w:t>
      </w:r>
      <w:r>
        <w:rPr>
          <w:b/>
          <w:bCs/>
        </w:rPr>
        <w:t xml:space="preserve">Diversity-only</w:t>
      </w:r>
      <w:r>
        <w:t xml:space="preserve">,</w:t>
      </w:r>
      <w:r>
        <w:t xml:space="preserve"> </w:t>
      </w:r>
      <w:r>
        <w:rPr>
          <w:b/>
          <w:bCs/>
        </w:rPr>
        <w:t xml:space="preserve">Attribute-only</w:t>
      </w:r>
      <w:r>
        <w:t xml:space="preserve">) and the four leave-one-out variants (</w:t>
      </w:r>
      <w:r>
        <w:rPr>
          <w:b/>
          <w:bCs/>
        </w:rPr>
        <w:t xml:space="preserve">Pack-OFF</w:t>
      </w:r>
      <w:r>
        <w:t xml:space="preserve">,</w:t>
      </w:r>
      <w:r>
        <w:t xml:space="preserve"> </w:t>
      </w:r>
      <w:r>
        <w:rPr>
          <w:b/>
          <w:bCs/>
        </w:rPr>
        <w:t xml:space="preserve">Mode-Seeking-OFF</w:t>
      </w:r>
      <w:r>
        <w:t xml:space="preserve">,</w:t>
      </w:r>
      <w:r>
        <w:t xml:space="preserve"> </w:t>
      </w:r>
      <w:r>
        <w:rPr>
          <w:b/>
          <w:bCs/>
        </w:rPr>
        <w:t xml:space="preserve">Mode-Hunter-OFF</w:t>
      </w:r>
      <w:r>
        <w:t xml:space="preserve">,</w:t>
      </w:r>
      <w:r>
        <w:t xml:space="preserve"> </w:t>
      </w:r>
      <w:r>
        <w:rPr>
          <w:b/>
          <w:bCs/>
        </w:rPr>
        <w:t xml:space="preserve">Coverage-Hole-OFF</w:t>
      </w:r>
      <w:r>
        <w:t xml:space="preserve">) are stable identifiers in the open-source CLI flag</w:t>
      </w:r>
      <w:r>
        <w:t xml:space="preserve"> </w:t>
      </w:r>
      <w:r>
        <w:rPr>
          <w:rStyle w:val="VerbatimChar"/>
        </w:rPr>
        <w:t xml:space="preserve">--conditions</w:t>
      </w:r>
      <w:r>
        <w:t xml:space="preserve"> </w:t>
      </w:r>
      <w:r>
        <w:t xml:space="preserve">under their historical underscore names (</w:t>
      </w:r>
      <w:r>
        <w:rPr>
          <w:rStyle w:val="VerbatimChar"/>
        </w:rPr>
        <w:t xml:space="preserve">naive</w:t>
      </w:r>
      <w:r>
        <w:t xml:space="preserve">,</w:t>
      </w:r>
      <w:r>
        <w:t xml:space="preserve"> </w:t>
      </w:r>
      <w:r>
        <w:rPr>
          <w:rStyle w:val="VerbatimChar"/>
        </w:rPr>
        <w:t xml:space="preserve">few_shot</w:t>
      </w:r>
      <w:r>
        <w:t xml:space="preserve">,</w:t>
      </w:r>
      <w:r>
        <w:t xml:space="preserve"> </w:t>
      </w:r>
      <w:r>
        <w:rPr>
          <w:rStyle w:val="VerbatimChar"/>
        </w:rPr>
        <w:t xml:space="preserve">self_critique</w:t>
      </w:r>
      <w:r>
        <w:t xml:space="preserve">,</w:t>
      </w:r>
      <w:r>
        <w:t xml:space="preserve"> </w:t>
      </w:r>
      <w:r>
        <w:rPr>
          <w:rStyle w:val="VerbatimChar"/>
        </w:rPr>
        <w:t xml:space="preserve">realism_only</w:t>
      </w:r>
      <w:r>
        <w:t xml:space="preserve">,</w:t>
      </w:r>
      <w:r>
        <w:t xml:space="preserve"> </w:t>
      </w:r>
      <w:r>
        <w:rPr>
          <w:rStyle w:val="VerbatimChar"/>
        </w:rPr>
        <w:t xml:space="preserve">diversity_only</w:t>
      </w:r>
      <w:r>
        <w:t xml:space="preserve">,</w:t>
      </w:r>
      <w:r>
        <w:t xml:space="preserve"> </w:t>
      </w:r>
      <w:r>
        <w:rPr>
          <w:rStyle w:val="VerbatimChar"/>
        </w:rPr>
        <w:t xml:space="preserve">attribute_only</w:t>
      </w:r>
      <w:r>
        <w:t xml:space="preserve">,</w:t>
      </w:r>
      <w:r>
        <w:t xml:space="preserve"> </w:t>
      </w:r>
      <w:r>
        <w:rPr>
          <w:rStyle w:val="VerbatimChar"/>
        </w:rPr>
        <w:t xml:space="preserve">no_pack</w:t>
      </w:r>
      <w:r>
        <w:t xml:space="preserve">,</w:t>
      </w:r>
      <w:r>
        <w:t xml:space="preserve"> </w:t>
      </w:r>
      <w:r>
        <w:rPr>
          <w:rStyle w:val="VerbatimChar"/>
        </w:rPr>
        <w:t xml:space="preserve">no_mode_seeking</w:t>
      </w:r>
      <w:r>
        <w:t xml:space="preserve">,</w:t>
      </w:r>
      <w:r>
        <w:t xml:space="preserve"> </w:t>
      </w:r>
      <w:r>
        <w:rPr>
          <w:rStyle w:val="VerbatimChar"/>
        </w:rPr>
        <w:t xml:space="preserve">no_mode_hunter</w:t>
      </w:r>
      <w:r>
        <w:t xml:space="preserve">,</w:t>
      </w:r>
      <w:r>
        <w:t xml:space="preserve"> </w:t>
      </w:r>
      <w:r>
        <w:rPr>
          <w:rStyle w:val="VerbatimChar"/>
        </w:rPr>
        <w:t xml:space="preserve">no_coverage_hole</w:t>
      </w:r>
      <w:r>
        <w:t xml:space="preserve">); the display names in this paper use hyphens for readability. For backward compatibility with the released experimental artefacts, SynSmith is invoked at the CLI as</w:t>
      </w:r>
      <w:r>
        <w:t xml:space="preserve"> </w:t>
      </w:r>
      <w:r>
        <w:rPr>
          <w:rStyle w:val="VerbatimChar"/>
        </w:rPr>
        <w:t xml:space="preserve">--conditions full_attrforge</w:t>
      </w:r>
      <w:r>
        <w:t xml:space="preserve"> </w:t>
      </w:r>
      <w:r>
        <w:t xml:space="preserve">and Baseline-3C as</w:t>
      </w:r>
      <w:r>
        <w:t xml:space="preserve"> </w:t>
      </w:r>
      <w:r>
        <w:rPr>
          <w:rStyle w:val="VerbatimChar"/>
        </w:rPr>
        <w:t xml:space="preserve">--conditions full_classic</w:t>
      </w:r>
      <w:r>
        <w:t xml:space="preserve">; variant configurations retain the historical prefix (</w:t>
      </w:r>
      <w:r>
        <w:rPr>
          <w:rStyle w:val="VerbatimChar"/>
        </w:rPr>
        <w:t xml:space="preserve">full_attrforge_vs</w:t>
      </w:r>
      <w:r>
        <w:t xml:space="preserve"> </w:t>
      </w:r>
      <w:r>
        <w:t xml:space="preserve">for the Verbalized Sampling generator,</w:t>
      </w:r>
      <w:r>
        <w:t xml:space="preserve"> </w:t>
      </w:r>
      <w:r>
        <w:rPr>
          <w:rStyle w:val="VerbatimChar"/>
        </w:rPr>
        <w:t xml:space="preserve">full_attrforge_3judge</w:t>
      </w:r>
      <w:r>
        <w:t xml:space="preserve"> </w:t>
      </w:r>
      <w:r>
        <w:t xml:space="preserve">for the multi-vendor judge ensemble,</w:t>
      </w:r>
      <w:r>
        <w:t xml:space="preserve"> </w:t>
      </w:r>
      <w:r>
        <w:rPr>
          <w:rStyle w:val="VerbatimChar"/>
        </w:rPr>
        <w:t xml:space="preserve">full_attrforge_sibling</w:t>
      </w:r>
      <w:r>
        <w:t xml:space="preserve"> </w:t>
      </w:r>
      <w:r>
        <w:t xml:space="preserve">for the Class-Discriminability extension).</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2" w:space="288" w:equalWidth="1"/>
          <w:docGrid w:linePitch="360"/>
        </w:sectPr>
      </w:pPr>
    </w:p>
    <w:p>
      <w:pPr>
        <w:pStyle w:val="TableCaption"/>
        <w:spacing w:before="240" w:after="60" w:line="240" w:lineRule="auto"/>
        <w:jc w:val="center"/>
        <w:keepNext/>
        <w:keepLines/>
        <w:widowControl w:val="1"/>
      </w:pPr>
      <w:r>
        <w:rPr>
          <w:b/>
          <w:i/>
        </w:rPr>
        <w:t>Table 3:</w:t>
      </w:r>
      <w:r>
        <w:rPr>
          <w:b w:val="0"/>
          <w:i/>
        </w:rPr>
        <w:t xml:space="preserve"> </w:t>
      </w:r>
      <w:r>
        <w:rPr>
          <w:b w:val="0"/>
          <w:i/>
        </w:rPr>
        <w:t>Conditions evaluated. Same generator (live gpt-4o-mini, temperature 0.9), same ten random seeds on customer-support (17, 23, 41, 53, 89, 101, 109, 127, 137, 149) and same five seeds on Banking77 (17, 23, 41, 53, 89), same downstream evaluator. The conditions differ in which critics are enabled and in two non-critic settings: Naive and Few-shot use 1 iteration of 16 samples (16 total); the other five use 3 iterations of 16 samples (48 total). Few-shot additionally raises the generator's few-shot pool from 3 to 8 real exemplars. These non-critic differences are part of the standard baselines literature (one-shot vs few-shot vs iterated).</w:t>
      </w:r>
    </w:p>
    <w:tbl>
      <w:tblPr>
        <w:tblStyle w:val="Table"/>
        <w:tblW w:type="pct" w:w="5000"/>
        <w:jc w:val="center"/>
        <w:tblLook w:firstRow="1" w:lastRow="0" w:firstColumn="0" w:lastColumn="0" w:noHBand="0" w:noVBand="0" w:val="0020"/>
        <w:tblCaption w:val="Table 3: Conditions evaluated. Same generator (live gpt-4o-mini, temperature 0.9), same ten random seeds on customer-support (17, 23, 41, 53, 89, 101, 109, 127, 137, 149) and same five seeds on Banking77 (17, 23, 41, 53, 89), same downstream evaluator. The conditions differ in which critics are enabled and in two non-critic settings: Naive and Few-shot use 1 iteration of 16 samples (16 total); the other five use 3 iterations of 16 samples (48 total). Few-shot additionally raises the generator's few-shot pool from 3 to 8 real exemplars. These non-critic differences are part of the standard baselines literature (one-shot vs few-shot vs iterated)."/>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792"/>
        <w:gridCol w:w="792"/>
        <w:gridCol w:w="792"/>
        <w:gridCol w:w="792"/>
        <w:gridCol w:w="792"/>
        <w:gridCol w:w="792"/>
        <w:gridCol w:w="792"/>
        <w:gridCol w:w="792"/>
        <w:gridCol w:w="792"/>
        <w:gridCol w:w="792"/>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7"/>
              </w:rPr>
              <w:t xml:space="preserve">Condition</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7"/>
              </w:rPr>
              <w:t xml:space="preserve">Iters</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7"/>
              </w:rPr>
              <w:t xml:space="preserve">Verifier</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7"/>
              </w:rPr>
              <w:t xml:space="preserve">Realism disc.</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7"/>
              </w:rPr>
              <w:t xml:space="preserve">Auditor</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7"/>
              </w:rPr>
              <w:t xml:space="preserve">Pack</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7"/>
              </w:rPr>
              <w:t xml:space="preserve">Mode-seeking</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7"/>
              </w:rPr>
              <w:t xml:space="preserve">Mode hunter</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7"/>
              </w:rPr>
              <w:t xml:space="preserve">Coverage hole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7"/>
              </w:rPr>
              <w:t xml:space="preserve">Updater</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Naive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Few-shot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Self-critique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det.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on</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Realism-only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on</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det.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on</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Diversity-only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on</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on</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on</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on</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Baseline-3C</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on</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on</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on</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on</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7"/>
              </w:rPr>
              <w:t xml:space="preserve">SynSmith</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7"/>
              </w:rPr>
              <w:t xml:space="preserve">3</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7"/>
              </w:rPr>
              <w:t xml:space="preserve">on</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7"/>
              </w:rPr>
              <w:t xml:space="preserve">on</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7"/>
              </w:rPr>
              <w:t xml:space="preserve">on</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7"/>
              </w:rPr>
              <w:t xml:space="preserve">on</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7"/>
              </w:rPr>
              <w:t xml:space="preserve">on</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7"/>
              </w:rPr>
              <w:t xml:space="preserve">on</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7"/>
              </w:rPr>
              <w:t xml:space="preserve">on</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7"/>
              </w:rPr>
              <w:t xml:space="preserve">on</w:t>
            </w:r>
          </w:p>
        </w:tc>
      </w:tr>
    </w:tbl>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1" w:space="288"/>
          <w:docGrid w:linePitch="360"/>
        </w:sectPr>
      </w:pPr>
    </w:p>
    <w:p>
      <w:pPr>
        <w:pStyle w:val="BodyText"/>
        <w:jc w:val="both"/>
        <w:keepNext w:val="0"/>
        <w:keepLines w:val="0"/>
        <w:widowControl w:val="1"/>
      </w:pPr>
      <w:r>
        <w:t xml:space="preserve">Each condition produces</w:t>
      </w:r>
      <w:r>
        <w:t xml:space="preserve"> </w:t>
      </w:r>
      <m:oMath>
        <m:r>
          <m:rPr>
            <m:sty m:val="p"/>
          </m:rPr>
          <m:t>|</m:t>
        </m:r>
        <m:r>
          <m:t>S</m:t>
        </m:r>
        <m:r>
          <m:rPr>
            <m:sty m:val="p"/>
          </m:rPr>
          <m:t>|</m:t>
        </m:r>
        <m:r>
          <m:rPr>
            <m:sty m:val="p"/>
          </m:rPr>
          <m:t>=</m:t>
        </m:r>
        <m:r>
          <m:t>16</m:t>
        </m:r>
      </m:oMath>
      <w:r>
        <w:t xml:space="preserve"> </w:t>
      </w:r>
      <w:r>
        <w:t xml:space="preserve">synthetic samples per iteration; iterated conditions therefore produce</w:t>
      </w:r>
      <w:r>
        <w:t xml:space="preserve"> </w:t>
      </w:r>
      <m:oMath>
        <m:r>
          <m:t>48</m:t>
        </m:r>
      </m:oMath>
      <w:r>
        <w:t xml:space="preserve"> </w:t>
      </w:r>
      <w:r>
        <w:t xml:space="preserve">total samples. The post-hoc adversary audit of Section 8 is run once per seed on every condition's final pooled batch; aggregation across seeds uses paired statistics (paired-t, Wilcoxon,</w:t>
      </w:r>
      <w:r>
        <w:t xml:space="preserve"> </w:t>
      </w:r>
      <m:oMath>
        <m:r>
          <m:t>95</m:t>
        </m:r>
        <m:r>
          <m:rPr>
            <m:sty m:val="p"/>
          </m:rPr>
          <m:t>%</m:t>
        </m:r>
      </m:oMath>
      <w:r>
        <w:t xml:space="preserve"> </w:t>
      </w:r>
      <w:r>
        <w:t xml:space="preserve">bootstrap CI). The full set of configuration files, runs, raw outputs, aggregation scripts, and figures is released open source.</w:t>
      </w:r>
    </w:p>
    <w:bookmarkEnd w:id="40"/>
    <w:bookmarkStart w:id="41" w:name="metrics"/>
    <w:p>
      <w:pPr>
        <w:pStyle w:val="Heading3"/>
        <w:keepNext/>
        <w:keepLines/>
        <w:widowControl w:val="1"/>
      </w:pPr>
      <w:r>
        <w:t xml:space="preserve">6.4</w:t>
      </w:r>
      <w:r>
        <w:t xml:space="preserve"> </w:t>
      </w:r>
      <w:r>
        <w:t xml:space="preserve">Metrics</w:t>
      </w:r>
    </w:p>
    <w:p>
      <w:pPr>
        <w:pStyle w:val="FirstParagraph"/>
        <w:jc w:val="both"/>
        <w:keepNext w:val="0"/>
        <w:keepLines w:val="0"/>
        <w:widowControl w:val="1"/>
      </w:pPr>
      <w:r>
        <w:t xml:space="preserve">Per-iteration metrics include attribute match rate, realism discriminator accuracy, diversity (per-attribute Shannon entropy, combination coverage, and near-duplicate rate at</w:t>
      </w:r>
      <w:r>
        <w:t xml:space="preserve"> </w:t>
      </w:r>
      <m:oMath>
        <m:r>
          <m:t>θ</m:t>
        </m:r>
        <m:r>
          <m:rPr>
            <m:sty m:val="p"/>
          </m:rPr>
          <m:t>=</m:t>
        </m:r>
        <m:r>
          <m:t>0.92</m:t>
        </m:r>
      </m:oMath>
      <w:r>
        <w:t xml:space="preserve">), pack accuracy, mode-seeking ratio, banned-phrasing library size, coverage classifier AUROC, and the downstream classifier's accuracy and per-class macro F1 on the held-out real test split.</w:t>
      </w:r>
    </w:p>
    <w:bookmarkEnd w:id="41"/>
    <w:bookmarkStart w:id="42" w:name="sec-realdata"/>
    <w:p>
      <w:pPr>
        <w:pStyle w:val="Heading3"/>
        <w:keepNext/>
        <w:keepLines/>
        <w:widowControl w:val="1"/>
      </w:pPr>
      <w:r>
        <w:t xml:space="preserve">6.5</w:t>
      </w:r>
      <w:r>
        <w:t xml:space="preserve"> </w:t>
      </w:r>
      <w:r>
        <w:t xml:space="preserve">Real-data requirements</w:t>
      </w:r>
    </w:p>
    <w:p>
      <w:pPr>
        <w:pStyle w:val="FirstParagraph"/>
        <w:jc w:val="both"/>
        <w:keepNext w:val="0"/>
        <w:keepLines w:val="0"/>
        <w:widowControl w:val="1"/>
      </w:pPr>
      <w:r>
        <w:t xml:space="preserve">The SynSmith critic stack accesses the real seed in five places. The few-shot generator pool draws</w:t>
      </w:r>
      <w:r>
        <w:t xml:space="preserve"> </w:t>
      </w:r>
      <m:oMath>
        <m:r>
          <m:rPr>
            <m:sty m:val="p"/>
          </m:rPr>
          <m:t>≥</m:t>
        </m:r>
      </m:oMath>
      <w:r>
        <w:t xml:space="preserve"> </w:t>
      </w:r>
      <w:r>
        <w:rPr>
          <w:rStyle w:val="VerbatimChar"/>
        </w:rPr>
        <w:t xml:space="preserve">num_few_shot</w:t>
      </w:r>
      <w:r>
        <w:t xml:space="preserve"> </w:t>
      </w:r>
      <w:r>
        <w:t xml:space="preserve">exemplars per call (typically</w:t>
      </w:r>
      <w:r>
        <w:t xml:space="preserve"> </w:t>
      </w:r>
      <m:oMath>
        <m:r>
          <m:t>3</m:t>
        </m:r>
      </m:oMath>
      <w:r>
        <w:t xml:space="preserve">). The empirical-referent Verifier (Section 4.3) samples</w:t>
      </w:r>
      <w:r>
        <w:t xml:space="preserve"> </w:t>
      </w:r>
      <m:oMath>
        <m:r>
          <m:rPr>
            <m:sty m:val="p"/>
          </m:rPr>
          <m:t>≥</m:t>
        </m:r>
      </m:oMath>
      <w:r>
        <w:t xml:space="preserve"> </w:t>
      </w:r>
      <w:r>
        <w:rPr>
          <w:rStyle w:val="VerbatimChar"/>
        </w:rPr>
        <w:t xml:space="preserve">k_real_per_value</w:t>
      </w:r>
      <w:r>
        <w:t xml:space="preserve"> </w:t>
      </w:r>
      <w:r>
        <w:t xml:space="preserve">real examples per labeled attribute value (typically</w:t>
      </w:r>
      <w:r>
        <w:t xml:space="preserve"> </w:t>
      </w:r>
      <m:oMath>
        <m:r>
          <m:t>3</m:t>
        </m:r>
      </m:oMath>
      <w:r>
        <w:t xml:space="preserve"> </w:t>
      </w:r>
      <w:r>
        <w:t xml:space="preserve">per class) so the LLM judges against an empirical referent rather than a generic-English prior. The Realism Discriminator mixes</w:t>
      </w:r>
      <w:r>
        <w:t xml:space="preserve"> </w:t>
      </w:r>
      <m:oMath>
        <m:r>
          <m:rPr>
            <m:sty m:val="p"/>
          </m:rPr>
          <m:t>≥</m:t>
        </m:r>
        <m:r>
          <m:t>24</m:t>
        </m:r>
      </m:oMath>
      <w:r>
        <w:t xml:space="preserve"> </w:t>
      </w:r>
      <w:r>
        <w:t xml:space="preserve">real samples per round into the in-context game. The Coverage Hole Finder fits a density-ratio classifier over real vs synth and behaves non-trivially at</w:t>
      </w:r>
      <w:r>
        <w:t xml:space="preserve"> </w:t>
      </w:r>
      <m:oMath>
        <m:r>
          <m:rPr>
            <m:sty m:val="p"/>
          </m:rPr>
          <m:t>≥</m:t>
        </m:r>
        <m:r>
          <m:t>50</m:t>
        </m:r>
      </m:oMath>
      <w:r>
        <w:t xml:space="preserve"> </w:t>
      </w:r>
      <w:r>
        <w:t xml:space="preserve">real. The Mode Hunter's lexical-overlap veto needs the real-seed vocabulary to be representative, also</w:t>
      </w:r>
      <w:r>
        <w:t xml:space="preserve"> </w:t>
      </w:r>
      <m:oMath>
        <m:r>
          <m:rPr>
            <m:sty m:val="p"/>
          </m:rPr>
          <m:t>≥</m:t>
        </m:r>
        <m:r>
          <m:t>50</m:t>
        </m:r>
      </m:oMath>
      <w:r>
        <w:t xml:space="preserve">.</w:t>
      </w:r>
    </w:p>
    <w:p>
      <w:pPr>
        <w:pStyle w:val="BodyText"/>
        <w:jc w:val="both"/>
        <w:keepNext w:val="0"/>
        <w:keepLines w:val="0"/>
        <w:widowControl w:val="1"/>
      </w:pPr>
      <w:r>
        <w:t xml:space="preserve">The hard floor is therefore approximately</w:t>
      </w:r>
      <w:r>
        <w:t xml:space="preserve"> </w:t>
      </w:r>
      <m:oMath>
        <m:r>
          <m:t>3</m:t>
        </m:r>
      </m:oMath>
      <w:r>
        <w:t xml:space="preserve"> </w:t>
      </w:r>
      <w:r>
        <w:t xml:space="preserve">real examples per class for the core anchoring to function; we recommend</w:t>
      </w:r>
      <w:r>
        <w:t xml:space="preserve"> </w:t>
      </w:r>
      <m:oMath>
        <m:r>
          <m:t>5</m:t>
        </m:r>
      </m:oMath>
      <w:r>
        <w:t xml:space="preserve"> </w:t>
      </w:r>
      <w:r>
        <w:t xml:space="preserve">to</w:t>
      </w:r>
      <w:r>
        <w:t xml:space="preserve"> </w:t>
      </w:r>
      <m:oMath>
        <m:r>
          <m:t>50</m:t>
        </m:r>
      </m:oMath>
      <w:r>
        <w:t xml:space="preserve"> </w:t>
      </w:r>
      <w:r>
        <w:t xml:space="preserve">per class for the discriminators to produce signal. The Class-Discriminability extension adds</w:t>
      </w:r>
      <w:r>
        <w:t xml:space="preserve"> </w:t>
      </w:r>
      <m:oMath>
        <m:r>
          <m:t>1</m:t>
        </m:r>
      </m:oMath>
      <w:r>
        <w:t xml:space="preserve"> </w:t>
      </w:r>
      <w:r>
        <w:t xml:space="preserve">real example per sibling class to every Verifier call, so a</w:t>
      </w:r>
      <w:r>
        <w:t xml:space="preserve"> </w:t>
      </w:r>
      <m:oMath>
        <m:r>
          <m:t>K</m:t>
        </m:r>
      </m:oMath>
      <w:r>
        <w:t xml:space="preserve">-class schema needs at least</w:t>
      </w:r>
      <w:r>
        <w:t xml:space="preserve"> </w:t>
      </w:r>
      <m:oMath>
        <m:r>
          <m:t>1</m:t>
        </m:r>
      </m:oMath>
      <w:r>
        <w:t xml:space="preserve"> </w:t>
      </w:r>
      <w:r>
        <w:t xml:space="preserve">real example for every class to populate the sibling block; the topic-axis extension requires the real seed to be clusterable, i.e.</w:t>
      </w:r>
      <w:r>
        <w:t xml:space="preserve"> </w:t>
      </w:r>
      <m:oMath>
        <m:sSub>
          <m:e>
            <m:r>
              <m:t>N</m:t>
            </m:r>
          </m:e>
          <m:sub>
            <m:r>
              <m:rPr>
                <m:nor/>
                <m:sty m:val="p"/>
              </m:rPr>
              <m:t>real</m:t>
            </m:r>
          </m:sub>
        </m:sSub>
        <m:r>
          <m:rPr>
            <m:sty m:val="p"/>
          </m:rPr>
          <m:t>≥</m:t>
        </m:r>
        <m:sSub>
          <m:e>
            <m:r>
              <m:t>K</m:t>
            </m:r>
          </m:e>
          <m:sub>
            <m:r>
              <m:rPr>
                <m:nor/>
                <m:sty m:val="p"/>
              </m:rPr>
              <m:t>topics</m:t>
            </m:r>
          </m:sub>
        </m:sSub>
      </m:oMath>
      <w:r>
        <w:t xml:space="preserve">. Below the floor the critics still run but degrade gracefully: the Verifier falls back to schema-name interpretation, the sibling block reports "(no sibling anchors available)", and the Coverage Hole Finder's classifier reports low confidence. The reported headline runs span</w:t>
      </w:r>
      <w:r>
        <w:t xml:space="preserve"> </w:t>
      </w:r>
      <m:oMath>
        <m:r>
          <m:t>10</m:t>
        </m:r>
      </m:oMath>
      <w:r>
        <w:t xml:space="preserve"> </w:t>
      </w:r>
      <w:r>
        <w:t xml:space="preserve">to</w:t>
      </w:r>
      <w:r>
        <w:t xml:space="preserve"> </w:t>
      </w:r>
      <m:oMath>
        <m:r>
          <m:t>30</m:t>
        </m:r>
      </m:oMath>
      <w:r>
        <w:t xml:space="preserve"> </w:t>
      </w:r>
      <w:r>
        <w:t xml:space="preserve">real-train per class, inside the recommended band; the per-dataset per-class real-train count is shown alongside every result in Section 7.</w:t>
      </w:r>
    </w:p>
    <w:bookmarkEnd w:id="42"/>
    <w:bookmarkEnd w:id="43"/>
    <w:bookmarkStart w:id="52" w:name="sec-results"/>
    <w:p>
      <w:pPr>
        <w:pStyle w:val="Heading2"/>
        <w:keepNext/>
        <w:keepLines/>
        <w:widowControl w:val="1"/>
      </w:pPr>
      <w:r>
        <w:t xml:space="preserve">7</w:t>
      </w:r>
      <w:r>
        <w:t xml:space="preserve"> </w:t>
      </w:r>
      <w:r>
        <w:t xml:space="preserve">Results</w:t>
      </w:r>
    </w:p>
    <w:bookmarkStart w:id="44" w:name="sec-aug-pointer"/>
    <w:p>
      <w:pPr>
        <w:pStyle w:val="Heading3"/>
        <w:keepNext/>
        <w:keepLines/>
        <w:widowControl w:val="1"/>
      </w:pPr>
      <w:r>
        <w:t xml:space="preserve">7.1</w:t>
      </w:r>
      <w:r>
        <w:t xml:space="preserve"> </w:t>
      </w:r>
      <w:r>
        <w:t xml:space="preserve">Augmentation: reaching the real-only ceiling</w:t>
      </w:r>
    </w:p>
    <w:p>
      <w:pPr>
        <w:pStyle w:val="FirstParagraph"/>
        <w:jc w:val="both"/>
        <w:keepNext w:val="0"/>
        <w:keepLines w:val="0"/>
        <w:widowControl w:val="1"/>
      </w:pPr>
      <w:r>
        <w:t xml:space="preserve">The augmentation regime (concatenating a small real-train pool with the synthetic batch and training the downstream classifier on the union) and its per-class breakdown on customer-support intent classification are reported in</w:t>
      </w:r>
      <w:r>
        <w:t xml:space="preserve"> </w:t>
      </w:r>
      <w:hyperlink w:anchor="sec-appendix-augmentation">
        <w:r>
          <w:rPr>
            <w:rStyle w:val="Hyperlink"/>
          </w:rPr>
          <w:t xml:space="preserve">Appendix D</w:t>
        </w:r>
      </w:hyperlink>
      <w:r>
        <w:t xml:space="preserve">. The two findings the body builds on are: synthetic augmentation is most valuable at the scarce-real extreme (</w:t>
      </w:r>
      <m:oMath>
        <m:sSub>
          <m:e>
            <m:r>
              <m:t>n</m:t>
            </m:r>
          </m:e>
          <m:sub>
            <m:r>
              <m:rPr>
                <m:nor/>
                <m:sty m:val="p"/>
              </m:rPr>
              <m:t>real</m:t>
            </m:r>
          </m:sub>
        </m:sSub>
        <m:r>
          <m:rPr>
            <m:sty m:val="p"/>
          </m:rPr>
          <m:t>=</m:t>
        </m:r>
        <m:r>
          <m:t>5</m:t>
        </m:r>
      </m:oMath>
      <w:r>
        <w:t xml:space="preserve"> </w:t>
      </w:r>
      <w:r>
        <w:t xml:space="preserve">shows lifts of</w:t>
      </w:r>
      <w:r>
        <w:t xml:space="preserve"> </w:t>
      </w:r>
      <m:oMath>
        <m:r>
          <m:rPr>
            <m:sty m:val="p"/>
          </m:rPr>
          <m:t>+</m:t>
        </m:r>
        <m:r>
          <m:t>0.05</m:t>
        </m:r>
      </m:oMath>
      <w:r>
        <w:t xml:space="preserve"> </w:t>
      </w:r>
      <w:r>
        <w:t xml:space="preserve">to</w:t>
      </w:r>
      <w:r>
        <w:t xml:space="preserve"> </w:t>
      </w:r>
      <m:oMath>
        <m:r>
          <m:rPr>
            <m:sty m:val="p"/>
          </m:rPr>
          <m:t>+</m:t>
        </m:r>
        <m:r>
          <m:t>0.13</m:t>
        </m:r>
      </m:oMath>
      <w:r>
        <w:t xml:space="preserve"> </w:t>
      </w:r>
      <w:r>
        <w:t xml:space="preserve">macro F1), and the per-class ensemble result of Section 7.3 holds the saturated classes at</w:t>
      </w:r>
      <w:r>
        <w:t xml:space="preserve"> </w:t>
      </w:r>
      <m:oMath>
        <m:r>
          <m:t>1.00</m:t>
        </m:r>
      </m:oMath>
      <w:r>
        <w:t xml:space="preserve"> </w:t>
      </w:r>
      <w:r>
        <w:t xml:space="preserve">while lifting the hard ones (</w:t>
      </w:r>
      <w:r>
        <w:rPr>
          <w:rStyle w:val="VerbatimChar"/>
        </w:rPr>
        <w:t xml:space="preserve">complaint</w:t>
      </w:r>
      <w:r>
        <w:t xml:space="preserve"> </w:t>
      </w:r>
      <m:oMath>
        <m:r>
          <m:t>0.67</m:t>
        </m:r>
        <m:r>
          <m:rPr>
            <m:sty m:val="p"/>
          </m:rPr>
          <m:t>→</m:t>
        </m:r>
        <m:r>
          <m:t>0.83</m:t>
        </m:r>
      </m:oMath>
      <w:r>
        <w:t xml:space="preserve">,</w:t>
      </w:r>
      <w:r>
        <w:t xml:space="preserve"> </w:t>
      </w:r>
      <w:r>
        <w:rPr>
          <w:rStyle w:val="VerbatimChar"/>
        </w:rPr>
        <w:t xml:space="preserve">general_question</w:t>
      </w:r>
      <w:r>
        <w:t xml:space="preserve"> </w:t>
      </w:r>
      <m:oMath>
        <m:r>
          <m:t>0.80</m:t>
        </m:r>
        <m:r>
          <m:rPr>
            <m:sty m:val="p"/>
          </m:rPr>
          <m:t>→</m:t>
        </m:r>
        <m:r>
          <m:t>0.90</m:t>
        </m:r>
      </m:oMath>
      <w:r>
        <w:t xml:space="preserve">).</w:t>
      </w:r>
    </w:p>
    <w:bookmarkEnd w:id="44"/>
    <w:bookmarkStart w:id="45" w:name="sec-diversity-pointer"/>
    <w:p>
      <w:pPr>
        <w:pStyle w:val="Heading3"/>
        <w:keepNext/>
        <w:keepLines/>
        <w:widowControl w:val="1"/>
      </w:pPr>
      <w:r>
        <w:t xml:space="preserve">7.2</w:t>
      </w:r>
      <w:r>
        <w:t xml:space="preserve"> </w:t>
      </w:r>
      <w:r>
        <w:t xml:space="preserve">Direct diversity measurements</w:t>
      </w:r>
    </w:p>
    <w:p>
      <w:pPr>
        <w:pStyle w:val="FirstParagraph"/>
        <w:jc w:val="both"/>
        <w:keepNext w:val="0"/>
        <w:keepLines w:val="0"/>
        <w:widowControl w:val="1"/>
      </w:pPr>
      <w:r>
        <w:t xml:space="preserve">Three model-free direct diversity measurements (distinct-</w:t>
      </w:r>
      <m:oMath>
        <m:r>
          <m:t>n</m:t>
        </m:r>
      </m:oMath>
      <w:r>
        <w:t xml:space="preserve"> </w:t>
      </w:r>
      <w:r>
        <w:t xml:space="preserve">+ self-BLEU-4 on lexical surface; Vendi score on the sentence-transformer Gram matrix for semantic neighborhood; squared MMD with RBF kernel for distributional distance from real) and a Scendi-style Schur-complement decomposition of the Vendi gain are reported in</w:t>
      </w:r>
      <w:r>
        <w:t xml:space="preserve"> </w:t>
      </w:r>
      <w:hyperlink w:anchor="sec-appendix-diversity">
        <w:r>
          <w:rPr>
            <w:rStyle w:val="Hyperlink"/>
          </w:rPr>
          <w:t xml:space="preserve">Appendix F</w:t>
        </w:r>
      </w:hyperlink>
      <w:r>
        <w:t xml:space="preserve">. The two findings the body builds on are: (i) iteration produces a clean</w:t>
      </w:r>
      <w:r>
        <w:t xml:space="preserve"> </w:t>
      </w:r>
      <m:oMath>
        <m:r>
          <m:rPr>
            <m:sty m:val="p"/>
          </m:rPr>
          <m:t>≈</m:t>
        </m:r>
        <m:r>
          <m:t>2</m:t>
        </m:r>
        <m:r>
          <m:rPr>
            <m:sty m:val="p"/>
          </m:rPr>
          <m:t>×</m:t>
        </m:r>
      </m:oMath>
      <w:r>
        <w:t xml:space="preserve"> </w:t>
      </w:r>
      <w:r>
        <w:t xml:space="preserve">semantic-diversity gain over the non-iterated baselines (Vendi</w:t>
      </w:r>
      <w:r>
        <w:t xml:space="preserve"> </w:t>
      </w:r>
      <m:oMath>
        <m:r>
          <m:rPr>
            <m:sty m:val="p"/>
          </m:rPr>
          <m:t>≈</m:t>
        </m:r>
        <m:r>
          <m:t>19.2</m:t>
        </m:r>
      </m:oMath>
      <w:r>
        <w:t xml:space="preserve"> </w:t>
      </w:r>
      <w:r>
        <w:t xml:space="preserve">iterated vs</w:t>
      </w:r>
      <w:r>
        <w:t xml:space="preserve"> </w:t>
      </w:r>
      <m:oMath>
        <m:r>
          <m:rPr>
            <m:sty m:val="p"/>
          </m:rPr>
          <m:t>≈</m:t>
        </m:r>
        <m:r>
          <m:t>10.0</m:t>
        </m:r>
      </m:oMath>
      <w:r>
        <w:t xml:space="preserve"> </w:t>
      </w:r>
      <w:r>
        <w:t xml:space="preserve">non-iterated; the gain is approximately fully intrinsic-model-driven,</w:t>
      </w:r>
      <w:r>
        <w:t xml:space="preserve"> </w:t>
      </w:r>
      <m:oMath>
        <m:r>
          <m:rPr>
            <m:sty m:val="p"/>
          </m:rPr>
          <m:t>+</m:t>
        </m:r>
        <m:r>
          <m:t>102</m:t>
        </m:r>
        <m:r>
          <m:rPr>
            <m:sty m:val="p"/>
          </m:rPr>
          <m:t>%</m:t>
        </m:r>
      </m:oMath>
      <w:r>
        <w:t xml:space="preserve"> </w:t>
      </w:r>
      <w:r>
        <w:t xml:space="preserve">of the total Vendi gap, with a near-zero prompt-driven residual), and (ii) among the five iterated conditions, SynSmith holds the highest distinct-</w:t>
      </w:r>
      <m:oMath>
        <m:r>
          <m:t>n</m:t>
        </m:r>
      </m:oMath>
      <w:r>
        <w:t xml:space="preserve"> </w:t>
      </w:r>
      <w:r>
        <w:t xml:space="preserve">and lowest self-BLEU-4, the small consistent lexical-diversity contribution that the four GAN-style adversaries add on top of the iteration baseline.</w:t>
      </w:r>
    </w:p>
    <w:bookmarkEnd w:id="45"/>
    <w:bookmarkStart w:id="46" w:name="sec-ensemble"/>
    <w:p>
      <w:pPr>
        <w:pStyle w:val="Heading3"/>
        <w:keepNext/>
        <w:keepLines/>
        <w:widowControl w:val="1"/>
      </w:pPr>
      <w:r>
        <w:t xml:space="preserve">7.3</w:t>
      </w:r>
      <w:r>
        <w:t xml:space="preserve"> </w:t>
      </w:r>
      <w:r>
        <w:t xml:space="preserve">Cross-condition ensembling and per-component attribution</w:t>
      </w:r>
    </w:p>
    <w:p>
      <w:pPr>
        <w:pStyle w:val="FirstParagraph"/>
        <w:jc w:val="both"/>
        <w:keepNext w:val="0"/>
        <w:keepLines w:val="0"/>
        <w:widowControl w:val="1"/>
      </w:pPr>
      <w:r>
        <w:t xml:space="preserve">Two ablation findings carry the per-component attribution on customer-support intent classification at</w:t>
      </w:r>
      <w:r>
        <w:t xml:space="preserve"> </w:t>
      </w:r>
      <m:oMath>
        <m:r>
          <m:t>N</m:t>
        </m:r>
        <m:r>
          <m:rPr>
            <m:sty m:val="p"/>
          </m:rPr>
          <m:t>=</m:t>
        </m:r>
        <m:r>
          <m:t>10</m:t>
        </m:r>
      </m:oMath>
      <w:r>
        <w:t xml:space="preserve"> </w:t>
      </w:r>
      <w:r>
        <w:t xml:space="preserve">seeds.</w:t>
      </w:r>
      <w:r>
        <w:t xml:space="preserve"> </w:t>
      </w:r>
      <w:r>
        <w:rPr>
          <w:b/>
          <w:bCs/>
        </w:rPr>
        <w:t xml:space="preserve">Cross-condition classifier ensembling.</w:t>
      </w:r>
      <w:r>
        <w:t xml:space="preserve"> </w:t>
      </w:r>
      <w:r>
        <w:t xml:space="preserve">Logit-averaging the downstream classifiers from two iterated conditions reaches macro F1</w:t>
      </w:r>
      <w:r>
        <w:t xml:space="preserve"> </w:t>
      </w:r>
      <m:oMath>
        <m:r>
          <m:t>0.947</m:t>
        </m:r>
        <m:r>
          <m:rPr>
            <m:sty m:val="p"/>
          </m:rPr>
          <m:t>±</m:t>
        </m:r>
        <m:r>
          <m:t>0.056</m:t>
        </m:r>
      </m:oMath>
      <w:r>
        <w:t xml:space="preserve">, with</w:t>
      </w:r>
      <w:r>
        <w:t xml:space="preserve"> </w:t>
      </w:r>
      <m:oMath>
        <m:r>
          <m:t>1.65</m:t>
        </m:r>
        <m:r>
          <m:rPr>
            <m:sty m:val="p"/>
          </m:rPr>
          <m:t>×</m:t>
        </m:r>
      </m:oMath>
      <w:r>
        <w:t xml:space="preserve"> </w:t>
      </w:r>
      <w:r>
        <w:t xml:space="preserve">lower seed variance than any solo condition and a</w:t>
      </w:r>
      <w:r>
        <w:t xml:space="preserve"> </w:t>
      </w:r>
      <m:oMath>
        <m:r>
          <m:rPr>
            <m:sty m:val="p"/>
          </m:rPr>
          <m:t>+</m:t>
        </m:r>
        <m:r>
          <m:t>0.233</m:t>
        </m:r>
      </m:oMath>
      <w:r>
        <w:t xml:space="preserve"> </w:t>
      </w:r>
      <w:r>
        <w:t xml:space="preserve">paired lift on worst-class F1 (BCa</w:t>
      </w:r>
      <w:r>
        <w:t xml:space="preserve"> </w:t>
      </w:r>
      <m:oMath>
        <m:r>
          <m:t>95</m:t>
        </m:r>
        <m:r>
          <m:rPr>
            <m:sty m:val="p"/>
          </m:rPr>
          <m:t>%</m:t>
        </m:r>
      </m:oMath>
      <w:r>
        <w:t xml:space="preserve"> </w:t>
      </w:r>
      <w:r>
        <w:t xml:space="preserve">CI</w:t>
      </w:r>
      <w:r>
        <w:t xml:space="preserve"> </w:t>
      </w:r>
      <m:oMath>
        <m:r>
          <m:rPr>
            <m:sty m:val="p"/>
          </m:rPr>
          <m:t>[</m:t>
        </m:r>
        <m:r>
          <m:rPr>
            <m:sty m:val="p"/>
          </m:rPr>
          <m:t>+</m:t>
        </m:r>
        <m:r>
          <m:t>0.067</m:t>
        </m:r>
        <m:r>
          <m:rPr>
            <m:sty m:val="p"/>
          </m:rPr>
          <m:t>,</m:t>
        </m:r>
        <m:r>
          <m:rPr>
            <m:sty m:val="p"/>
          </m:rPr>
          <m:t>+</m:t>
        </m:r>
        <m:r>
          <m:t>0.500</m:t>
        </m:r>
        <m:r>
          <m:rPr>
            <m:sty m:val="p"/>
          </m:rPr>
          <m:t>]</m:t>
        </m:r>
      </m:oMath>
      <w:r>
        <w:t xml:space="preserve">, excludes zero).</w:t>
      </w:r>
      <w:r>
        <w:t xml:space="preserve"> </w:t>
      </w:r>
      <w:r>
        <w:rPr>
          <w:b/>
          <w:bCs/>
        </w:rPr>
        <w:t xml:space="preserve">Component leave-one-out ablation.</w:t>
      </w:r>
      <w:r>
        <w:t xml:space="preserve"> </w:t>
      </w:r>
      <w:r>
        <w:t xml:space="preserve">Dropping each GAN-style adversary in turn from the seven-critic loop attributes the downstream lift to iteration under the structured-feedback contract, the Pack Discriminator, and the Mode Hunter; Mode-Seeking and Coverage Hole Finder do not measurably differentiate conditions in our experiments. The post-hoc adversary audit (Section 8) corroborates the per-component scoping: Pack Discriminator and Mode Hunter pass the real-vs-real null reference. Full ensemble pair table, statistical comparisons, leave-one-out attribution, and the component-ablation table are in</w:t>
      </w:r>
      <w:r>
        <w:t xml:space="preserve"> </w:t>
      </w:r>
      <w:hyperlink w:anchor="sec-appendix-ablations">
        <w:r>
          <w:rPr>
            <w:rStyle w:val="Hyperlink"/>
          </w:rPr>
          <w:t xml:space="preserve">Appendix H</w:t>
        </w:r>
      </w:hyperlink>
      <w:r>
        <w:t xml:space="preserve">.</w:t>
      </w:r>
    </w:p>
    <w:bookmarkEnd w:id="46"/>
    <w:bookmarkStart w:id="47" w:name="sec-banking77"/>
    <w:p>
      <w:pPr>
        <w:pStyle w:val="Heading3"/>
        <w:keepNext/>
        <w:keepLines/>
        <w:widowControl w:val="1"/>
      </w:pPr>
      <w:r>
        <w:t xml:space="preserve">7.4</w:t>
      </w:r>
      <w:r>
        <w:t xml:space="preserve"> </w:t>
      </w:r>
      <w:r>
        <w:t xml:space="preserve">Cross-domain replication on Banking77 (augmentation regime)</w:t>
      </w:r>
    </w:p>
    <w:p>
      <w:pPr>
        <w:pStyle w:val="FirstParagraph"/>
        <w:jc w:val="both"/>
        <w:keepNext w:val="0"/>
        <w:keepLines w:val="0"/>
        <w:widowControl w:val="1"/>
      </w:pPr>
      <w:r>
        <w:t xml:space="preserve">We replicate the augmentation protocol on a</w:t>
      </w:r>
      <w:r>
        <w:t xml:space="preserve"> </w:t>
      </w:r>
      <m:oMath>
        <m:r>
          <m:t>10</m:t>
        </m:r>
      </m:oMath>
      <w:r>
        <w:t xml:space="preserve">-class Banking77</w:t>
      </w:r>
      <w:r>
        <w:t xml:space="preserve"> </w:t>
      </w:r>
      <w:hyperlink w:anchor="ref-banking77">
        <w:r>
          <w:rPr>
            <w:rStyle w:val="Hyperlink"/>
          </w:rPr>
          <w:t xml:space="preserve">[41]</w:t>
        </w:r>
      </w:hyperlink>
      <w:r>
        <w:t xml:space="preserve"> </w:t>
      </w:r>
      <w:r>
        <w:t xml:space="preserve">card-and-payment subset; full details in</w:t>
      </w:r>
      <w:r>
        <w:t xml:space="preserve"> </w:t>
      </w:r>
      <w:hyperlink w:anchor="sec-appendix-banking77-aug">
        <w:r>
          <w:rPr>
            <w:rStyle w:val="Hyperlink"/>
          </w:rPr>
          <w:t xml:space="preserve">Appendix E</w:t>
        </w:r>
      </w:hyperlink>
      <w:r>
        <w:t xml:space="preserve">. The two headline findings are: at the scarce-real extreme (</w:t>
      </w:r>
      <m:oMath>
        <m:sSub>
          <m:e>
            <m:r>
              <m:t>n</m:t>
            </m:r>
          </m:e>
          <m:sub>
            <m:r>
              <m:rPr>
                <m:nor/>
                <m:sty m:val="p"/>
              </m:rPr>
              <m:t>real</m:t>
            </m:r>
          </m:sub>
        </m:sSub>
        <m:r>
          <m:rPr>
            <m:sty m:val="p"/>
          </m:rPr>
          <m:t>=</m:t>
        </m:r>
        <m:r>
          <m:t>10</m:t>
        </m:r>
      </m:oMath>
      <w:r>
        <w:t xml:space="preserve">), every iterated condition lifts macro F1 from real-only</w:t>
      </w:r>
      <w:r>
        <w:t xml:space="preserve"> </w:t>
      </w:r>
      <m:oMath>
        <m:r>
          <m:t>0.726</m:t>
        </m:r>
        <m:r>
          <m:rPr>
            <m:sty m:val="p"/>
          </m:rPr>
          <m:t>±</m:t>
        </m:r>
        <m:r>
          <m:t>0.052</m:t>
        </m:r>
      </m:oMath>
      <w:r>
        <w:t xml:space="preserve"> </w:t>
      </w:r>
      <w:r>
        <w:t xml:space="preserve">to</w:t>
      </w:r>
      <w:r>
        <w:t xml:space="preserve"> </w:t>
      </w:r>
      <m:oMath>
        <m:r>
          <m:rPr>
            <m:sty m:val="p"/>
          </m:rPr>
          <m:t>≈</m:t>
        </m:r>
        <m:r>
          <m:t>0.88</m:t>
        </m:r>
      </m:oMath>
      <w:r>
        <w:t xml:space="preserve"> </w:t>
      </w:r>
      <w:r>
        <w:t xml:space="preserve">(</w:t>
      </w:r>
      <m:oMath>
        <m:r>
          <m:rPr>
            <m:sty m:val="p"/>
          </m:rPr>
          <m:t>+</m:t>
        </m:r>
        <m:r>
          <m:t>0.15</m:t>
        </m:r>
      </m:oMath>
      <w:r>
        <w:t xml:space="preserve">,</w:t>
      </w:r>
      <w:r>
        <w:t xml:space="preserve"> </w:t>
      </w:r>
      <m:oMath>
        <m:r>
          <m:rPr>
            <m:sty m:val="p"/>
          </m:rPr>
          <m:t>≥</m:t>
        </m:r>
        <m:r>
          <m:t>4</m:t>
        </m:r>
        <m:r>
          <m:rPr>
            <m:sty m:val="p"/>
          </m:rPr>
          <m:t>×</m:t>
        </m:r>
      </m:oMath>
      <w:r>
        <w:t xml:space="preserve"> </w:t>
      </w:r>
      <w:r>
        <w:t xml:space="preserve">variance reduction) and lifts worst-class F1 from</w:t>
      </w:r>
      <w:r>
        <w:t xml:space="preserve"> </w:t>
      </w:r>
      <m:oMath>
        <m:r>
          <m:t>0.319</m:t>
        </m:r>
        <m:r>
          <m:rPr>
            <m:sty m:val="p"/>
          </m:rPr>
          <m:t>±</m:t>
        </m:r>
        <m:r>
          <m:t>0.181</m:t>
        </m:r>
      </m:oMath>
      <w:r>
        <w:t xml:space="preserve"> </w:t>
      </w:r>
      <w:r>
        <w:t xml:space="preserve">to</w:t>
      </w:r>
      <w:r>
        <w:t xml:space="preserve"> </w:t>
      </w:r>
      <m:oMath>
        <m:r>
          <m:rPr>
            <m:sty m:val="p"/>
          </m:rPr>
          <m:t>≥</m:t>
        </m:r>
        <m:r>
          <m:t>0.72</m:t>
        </m:r>
      </m:oMath>
      <w:r>
        <w:t xml:space="preserve"> </w:t>
      </w:r>
      <w:r>
        <w:t xml:space="preserve">(</w:t>
      </w:r>
      <m:oMath>
        <m:r>
          <m:rPr>
            <m:sty m:val="p"/>
          </m:rPr>
          <m:t>+</m:t>
        </m:r>
        <m:r>
          <m:t>0.40</m:t>
        </m:r>
      </m:oMath>
      <w:r>
        <w:t xml:space="preserve">,</w:t>
      </w:r>
      <w:r>
        <w:t xml:space="preserve"> </w:t>
      </w:r>
      <m:oMath>
        <m:r>
          <m:rPr>
            <m:sty m:val="p"/>
          </m:rPr>
          <m:t>≥</m:t>
        </m:r>
        <m:r>
          <m:t>4</m:t>
        </m:r>
        <m:r>
          <m:rPr>
            <m:sty m:val="p"/>
          </m:rPr>
          <m:t>×</m:t>
        </m:r>
      </m:oMath>
      <w:r>
        <w:t xml:space="preserve"> </w:t>
      </w:r>
      <w:r>
        <w:t xml:space="preserve">variance reduction); and the seven-critic loop and the three-critic baseline are statistically indistinguishable on this dataset, which is what motivates the cross-condition ensembling result of Section 7.3 (where the differentiation appears in the ensemble, not solo).</w:t>
      </w:r>
    </w:p>
    <w:bookmarkEnd w:id="47"/>
    <w:bookmarkStart w:id="51" w:name="sec-multitask"/>
    <w:p>
      <w:pPr>
        <w:pStyle w:val="Heading3"/>
        <w:keepNext/>
        <w:keepLines/>
        <w:widowControl w:val="1"/>
      </w:pPr>
      <w:r>
        <w:t xml:space="preserve">7.5</w:t>
      </w:r>
      <w:r>
        <w:t xml:space="preserve"> </w:t>
      </w:r>
      <w:r>
        <w:t xml:space="preserve">Synth-only cross-task headline (SST-2 / Banking77 / TREC)</w:t>
      </w:r>
    </w:p>
    <w:p>
      <w:pPr>
        <w:pStyle w:val="FirstParagraph"/>
        <w:jc w:val="both"/>
        <w:keepNext w:val="0"/>
        <w:keepLines w:val="0"/>
        <w:widowControl w:val="1"/>
      </w:pPr>
      <w:r>
        <w:t xml:space="preserve">To establish the synth-only contribution beyond the customer-support and Banking77 augmentation results above, we ran SynSmith on three standard text-classification benchmarks at five seeds each (seeds</w:t>
      </w:r>
      <w:r>
        <w:t xml:space="preserve"> </w:t>
      </w:r>
      <m:oMath>
        <m:r>
          <m:t>17</m:t>
        </m:r>
        <m:r>
          <m:rPr>
            <m:sty m:val="p"/>
          </m:rPr>
          <m:t>,</m:t>
        </m:r>
        <m:r>
          <m:t>23</m:t>
        </m:r>
        <m:r>
          <m:rPr>
            <m:sty m:val="p"/>
          </m:rPr>
          <m:t>,</m:t>
        </m:r>
        <m:r>
          <m:t>41</m:t>
        </m:r>
        <m:r>
          <m:rPr>
            <m:sty m:val="p"/>
          </m:rPr>
          <m:t>,</m:t>
        </m:r>
        <m:r>
          <m:t>53</m:t>
        </m:r>
        <m:r>
          <m:rPr>
            <m:sty m:val="p"/>
          </m:rPr>
          <m:t>,</m:t>
        </m:r>
        <m:r>
          <m:t>89</m:t>
        </m:r>
      </m:oMath>
      <w:r>
        <w:t xml:space="preserve">), training a sentence-transformer + LogisticRegression downstream classifier on the synthetic batch alone and evaluating on the full canonical held-out test split. The class-balanced planner and the regen-on-rejection compensation (Section 4) ensure every class receives at least</w:t>
      </w:r>
      <w:r>
        <w:t xml:space="preserve"> </w:t>
      </w:r>
      <m:oMath>
        <m:r>
          <m:rPr>
            <m:sty m:val="p"/>
          </m:rPr>
          <m:t>⌈</m:t>
        </m:r>
        <m:r>
          <m:t>n</m:t>
        </m:r>
        <m:r>
          <m:rPr>
            <m:sty m:val="p"/>
          </m:rPr>
          <m:t>/</m:t>
        </m:r>
        <m:r>
          <m:t>K</m:t>
        </m:r>
        <m:r>
          <m:rPr>
            <m:sty m:val="p"/>
          </m:rPr>
          <m:t>⌉</m:t>
        </m:r>
      </m:oMath>
      <w:r>
        <w:t xml:space="preserve"> </w:t>
      </w:r>
      <w:r>
        <w:t xml:space="preserve">accepted samples per iteration.</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2" w:space="288" w:equalWidth="1"/>
          <w:docGrid w:linePitch="360"/>
        </w:sectPr>
      </w:pPr>
    </w:p>
    <w:p>
      <w:pPr>
        <w:pStyle w:val="BodyText"/>
        <w:jc w:val="center"/>
        <w:keepNext/>
        <w:keepLines/>
        <w:widowControl w:val="1"/>
      </w:pPr>
      <w:r>
        <w:drawing>
          <wp:inline>
            <wp:extent cx="5265106" cy="2843408"/>
            <wp:effectExtent b="0" l="0" r="0" t="0"/>
            <wp:docPr descr="Cross-task relative-ratio brackets. SST-2 ratio 1.04 with 95% CI [1.00, 1.07]; Banking77 ratio 0.92 with 95% CI [0.91, 0.93]; TREC ratio 1.00 with 95% CI [0.92, 1.08]. Reference line at 1.0 marks the real-only baseline." title="" id="49" name="Picture"/>
            <a:graphic>
              <a:graphicData uri="http://schemas.openxmlformats.org/drawingml/2006/picture">
                <pic:pic>
                  <pic:nvPicPr>
                    <pic:cNvPr descr="figures/cross_task_ratio.png" id="50" name="Picture"/>
                    <pic:cNvPicPr>
                      <a:picLocks noChangeArrowheads="1" noChangeAspect="1"/>
                    </pic:cNvPicPr>
                  </pic:nvPicPr>
                  <pic:blipFill>
                    <a:blip r:embed="rId48"/>
                    <a:stretch>
                      <a:fillRect/>
                    </a:stretch>
                  </pic:blipFill>
                  <pic:spPr bwMode="auto">
                    <a:xfrm>
                      <a:off x="0" y="0"/>
                      <a:ext cx="5265106" cy="2843408"/>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m:oMath>
        <m:sSub>
          <m:e>
            <m:r>
              <m:rPr>
                <m:sty m:val="p"/>
              </m:rPr>
              <m:t>F</m:t>
            </m:r>
            <m:r>
              <m:rPr>
                <m:sty m:val="p"/>
              </m:rPr>
              <m:t>1</m:t>
            </m:r>
          </m:e>
          <m:sub>
            <m:r>
              <m:rPr>
                <m:sty m:val="p"/>
              </m:rPr>
              <m:t>S</m:t>
            </m:r>
            <m:r>
              <m:rPr>
                <m:sty m:val="p"/>
              </m:rPr>
              <m:t>y</m:t>
            </m:r>
            <m:r>
              <m:rPr>
                <m:sty m:val="p"/>
              </m:rPr>
              <m:t>n</m:t>
            </m:r>
            <m:r>
              <m:rPr>
                <m:sty m:val="p"/>
              </m:rPr>
              <m:t>S</m:t>
            </m:r>
            <m:r>
              <m:rPr>
                <m:sty m:val="p"/>
              </m:rPr>
              <m:t>m</m:t>
            </m:r>
            <m:r>
              <m:rPr>
                <m:sty m:val="p"/>
              </m:rPr>
              <m:t>i</m:t>
            </m:r>
            <m:r>
              <m:rPr>
                <m:sty m:val="p"/>
              </m:rPr>
              <m:t>t</m:t>
            </m:r>
            <m:r>
              <m:rPr>
                <m:sty m:val="p"/>
              </m:rPr>
              <m:t>h</m:t>
            </m:r>
          </m:sub>
        </m:sSub>
        <m:r>
          <m:rPr>
            <m:sty m:val="p"/>
          </m:rPr>
          <m:t>/</m:t>
        </m:r>
        <m:sSub>
          <m:e>
            <m:r>
              <m:rPr>
                <m:sty m:val="p"/>
              </m:rPr>
              <m:t>F</m:t>
            </m:r>
            <m:r>
              <m:rPr>
                <m:sty m:val="p"/>
              </m:rPr>
              <m:t>1</m:t>
            </m:r>
          </m:e>
          <m:sub>
            <m:r>
              <m:rPr>
                <m:sty m:val="p"/>
              </m:rPr>
              <m:t>r</m:t>
            </m:r>
            <m:r>
              <m:rPr>
                <m:sty m:val="p"/>
              </m:rPr>
              <m:t>e</m:t>
            </m:r>
            <m:r>
              <m:rPr>
                <m:sty m:val="p"/>
              </m:rPr>
              <m:t>a</m:t>
            </m:r>
            <m:r>
              <m:rPr>
                <m:sty m:val="p"/>
              </m:rPr>
              <m:t>l</m:t>
            </m:r>
            <m:r>
              <m:rPr>
                <m:nor/>
                <m:sty m:val="p"/>
              </m:rPr>
              <m:t>-</m:t>
            </m:r>
            <m:r>
              <m:rPr>
                <m:sty m:val="p"/>
              </m:rPr>
              <m:t>o</m:t>
            </m:r>
            <m:r>
              <m:rPr>
                <m:sty m:val="p"/>
              </m:rPr>
              <m:t>n</m:t>
            </m:r>
            <m:r>
              <m:rPr>
                <m:sty m:val="p"/>
              </m:rPr>
              <m:t>l</m:t>
            </m:r>
            <m:r>
              <m:rPr>
                <m:sty m:val="p"/>
              </m:rPr>
              <m:t>y</m:t>
            </m:r>
          </m:sub>
        </m:sSub>
      </m:oMath>
      <m:oMath>
        <m:r>
          <m:t>95</m:t>
        </m:r>
        <m:r>
          <m:rPr>
            <m:sty m:val="p"/>
          </m:rPr>
          <m:t>%</m:t>
        </m:r>
      </m:oMath>
      <m:oMath>
        <m:r>
          <m:t>t</m:t>
        </m:r>
      </m:oMath>
      <m:oMath>
        <m:r>
          <m:t>N</m:t>
        </m:r>
        <m:r>
          <m:rPr>
            <m:sty m:val="p"/>
          </m:rPr>
          <m:t>−</m:t>
        </m:r>
        <m:r>
          <m:t>1</m:t>
        </m:r>
      </m:oMath>
      <m:oMath>
        <m:r>
          <m:t>1.0</m:t>
        </m:r>
      </m:oMath>
      <m:oMath>
        <m:r>
          <m:t>1.0</m:t>
        </m:r>
      </m:oMath>
      <m:oMath>
        <m:r>
          <m:t>1.0</m:t>
        </m:r>
      </m:oMath>
      <m:oMath>
        <m:r>
          <m:rPr>
            <m:sty m:val="p"/>
          </m:rPr>
          <m:t>[</m:t>
        </m:r>
        <m:r>
          <m:t>0.91</m:t>
        </m:r>
        <m:r>
          <m:rPr>
            <m:sty m:val="p"/>
          </m:rPr>
          <m:t>,</m:t>
        </m:r>
        <m:r>
          <m:t>1.07</m:t>
        </m:r>
        <m:r>
          <m:rPr>
            <m:sty m:val="p"/>
          </m:rPr>
          <m:t>]</m:t>
        </m:r>
      </m:oMath>
      <m:oMath>
        <m:r>
          <m:t>K</m:t>
        </m:r>
      </m:oMath>
      <w:r>
        <w:rPr>
          <w:b/>
          <w:i/>
        </w:rPr>
        <w:t>Figure 2:</w:t>
      </w:r>
      <w:r>
        <w:rPr>
          <w:b w:val="0"/>
          <w:i/>
        </w:rPr>
        <w:t xml:space="preserve"> </w:t>
      </w:r>
      <w:r>
        <w:rPr>
          <w:b w:val="0"/>
          <w:i/>
        </w:rPr>
        <w:t>Synth-only cross-task headline (numbers from the table below, visualized). For each dataset the marker is the mean ratio  across five seeds, and the bracket is its  confidence interval (-distribution at ). The dashed reference line at  marks the real-only baseline: brackets straddling or right of  match-or-beat real-only; brackets entirely left of  trail. The cross-task envelope, , is the union of the three brackets and is the headline.  is the number of classes; real/cls is the per-class real-train count that anchors the critics.</w:t>
      </w:r>
    </w:p>
    <w:p>
      <w:pPr>
        <w:pStyle w:val="TableCaption"/>
        <w:spacing w:before="240" w:after="60" w:line="240" w:lineRule="auto"/>
        <w:jc w:val="center"/>
        <w:keepNext/>
        <w:keepLines/>
        <w:widowControl w:val="1"/>
      </w:pPr>
      <m:oMath>
        <m:r>
          <m:t>1.0</m:t>
        </m:r>
      </m:oMath>
      <m:oMath>
        <m:sSub>
          <m:e>
            <m:r>
              <m:rPr>
                <m:sty m:val="p"/>
              </m:rPr>
              <m:t>F</m:t>
            </m:r>
            <m:r>
              <m:rPr>
                <m:sty m:val="p"/>
              </m:rPr>
              <m:t>1</m:t>
            </m:r>
          </m:e>
          <m:sub>
            <m:r>
              <m:rPr>
                <m:nor/>
                <m:sty m:val="p"/>
              </m:rPr>
              <m:t>SynSmith</m:t>
            </m:r>
          </m:sub>
        </m:sSub>
        <m:r>
          <m:rPr>
            <m:sty m:val="p"/>
          </m:rPr>
          <m:t>/</m:t>
        </m:r>
        <m:sSub>
          <m:e>
            <m:r>
              <m:rPr>
                <m:sty m:val="p"/>
              </m:rPr>
              <m:t>F</m:t>
            </m:r>
            <m:r>
              <m:rPr>
                <m:sty m:val="p"/>
              </m:rPr>
              <m:t>1</m:t>
            </m:r>
          </m:e>
          <m:sub>
            <m:r>
              <m:rPr>
                <m:nor/>
                <m:sty m:val="p"/>
              </m:rPr>
              <m:t>real-only</m:t>
            </m:r>
          </m:sub>
        </m:sSub>
      </m:oMath>
      <m:oMath>
        <m:r>
          <m:t>95</m:t>
        </m:r>
        <m:r>
          <m:rPr>
            <m:sty m:val="p"/>
          </m:rPr>
          <m:t>%</m:t>
        </m:r>
      </m:oMath>
      <m:oMath>
        <m:r>
          <m:t>t</m:t>
        </m:r>
      </m:oMath>
      <m:oMath>
        <m:r>
          <m:t>N</m:t>
        </m:r>
        <m:r>
          <m:rPr>
            <m:sty m:val="p"/>
          </m:rPr>
          <m:t>−</m:t>
        </m:r>
        <m:r>
          <m:t>1</m:t>
        </m:r>
      </m:oMath>
      <m:oMath>
        <m:r>
          <m:t>1.0</m:t>
        </m:r>
      </m:oMath>
      <m:oMath>
        <m:r>
          <m:rPr>
            <m:sty m:val="p"/>
          </m:rPr>
          <m:t>≥</m:t>
        </m:r>
        <m:r>
          <m:t>1.0</m:t>
        </m:r>
      </m:oMath>
      <m:oMath>
        <m:r>
          <m:rPr>
            <m:sty m:val="p"/>
          </m:rPr>
          <m:t>&lt;</m:t>
        </m:r>
        <m:r>
          <m:t>1.0</m:t>
        </m:r>
      </m:oMath>
      <m:oMath>
        <m:r>
          <m:t>1.0</m:t>
        </m:r>
      </m:oMath>
      <w:r>
        <w:rPr>
          <w:b/>
          <w:i/>
        </w:rPr>
        <w:t>Table 4:</w:t>
      </w:r>
      <w:r>
        <w:rPr>
          <w:b w:val="0"/>
          <w:i/>
        </w:rPr>
        <w:t xml:space="preserve"> </w:t>
      </w:r>
      <w:r>
        <w:rPr>
          <w:b w:val="0"/>
          <w:i/>
        </w:rPr>
        <w:t>Synth-only cross-task headline reported on a relative-ratio scale where  matches real-only. Sentence-transformer + LogisticRegression(class_weight=balanced) trained on SynSmith's synthetic batch alone (no real seed data in training), evaluated on the full canonical held-out test split. Five seeds per dataset; the ratio  is reported with its  confidence interval (-distribution at  degrees of freedom). Absolute F1 numbers and seed counts are in the right-hand columns for the reader who wants them, but the relative bracket is the comparison-ready metric:  is the real-only line,  beats it,  trails it, and the bracket width tells the reader whether the seed-variance puts the bracket either side of . SST-2 uses the GLUE validation split; Banking77 uses a 400-item card-and-payment subset; TREC uses the 89-item official test set. Real / class (train) is the per-class count in the real-train split that anchors the Verifier, the few-shot pool, and the Realism / Coverage-Hole / Pack discriminators; the test split is held out and not seen by any critic.</w:t>
      </w:r>
    </w:p>
    <w:tbl>
      <w:tblPr>
        <w:tblStyle w:val="Table"/>
        <w:tblW w:type="pct" w:w="5000"/>
        <w:jc w:val="center"/>
        <w:tblLook w:firstRow="1" w:lastRow="0" w:firstColumn="0" w:lastColumn="0" w:noHBand="0" w:noVBand="0" w:val="0020"/>
        <w:tblCaption w:val="Table 4: Synth-only cross-task headline reported on a relative-ratio scale where 1.0 matches real-only. Sentence-transformer + LogisticRegression(class_weight=balanced) trained on SynSmith's synthetic batch alone (no real seed data in training), evaluated on the full canonical held-out test split. Five seeds per dataset; the ratio \mathrm{F1}_{\text{SynSmith}} / \mathrm{F1}_{\text{real-only}} is reported with its 95\% confidence interval (t-distribution at N - 1 degrees of freedom). Absolute F1 numbers and seed counts are in the right-hand columns for the reader who wants them, but the relative bracket is the comparison-ready metric: 1.0 is the real-only line, \geq 1.0 beats it, &lt; 1.0 trails it, and the bracket width tells the reader whether the seed-variance puts the bracket either side of 1.0. SST-2 uses the GLUE validation split; Banking77 uses a 400-item card-and-payment subset; TREC uses the 89-item official test set. Real / class (train) is the per-class count in the real-train split that anchors the Verifier, the few-shot pool, and the Realism / Coverage-Hole / Pack discriminators; the test split is held out and not seen by any critic."/>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320"/>
        <w:gridCol w:w="1320"/>
        <w:gridCol w:w="1320"/>
        <w:gridCol w:w="1320"/>
        <w:gridCol w:w="1320"/>
        <w:gridCol w:w="132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Dataset</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Classes</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Real / class</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bCs/>
                <w:sz w:val="19"/>
              </w:rPr>
              <w:t xml:space="preserve">Relative ratio (95% CI)</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SynSmith F1</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Real-only F1</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SST-2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t>30</m:t>
              </m:r>
            </m:oMath>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t>1.04</m:t>
              </m:r>
            </m:oMath>
            <w:r>
              <w:rPr>
                <w:rFonts w:ascii="Georgia" w:hAnsi="Georgia"/>
                <w:b/>
                <w:bCs/>
                <w:sz w:val="19"/>
              </w:rPr>
              <w:t xml:space="preserve"> </w:t>
            </w:r>
            <m:oMath>
              <m:d>
                <m:dPr>
                  <m:begChr m:val="["/>
                  <m:sepChr m:val=""/>
                  <m:endChr m:val="]"/>
                  <m:grow/>
                </m:dPr>
                <m:e>
                  <m:r>
                    <m:t>1.00</m:t>
                  </m:r>
                  <m:r>
                    <m:rPr>
                      <m:sty m:val="p"/>
                    </m:rPr>
                    <m:t>,</m:t>
                  </m:r>
                  <m:r>
                    <m:t>1.07</m:t>
                  </m:r>
                </m:e>
              </m:d>
            </m:oMath>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t>0.731</m:t>
              </m:r>
              <m:r>
                <m:rPr>
                  <m:sty m:val="p"/>
                </m:rPr>
                <m:t>±</m:t>
              </m:r>
              <m:r>
                <m:t>0.029</m:t>
              </m:r>
            </m:oMath>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t>0.704</m:t>
              </m:r>
            </m:oMath>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Banking77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10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t>30</m:t>
              </m:r>
            </m:oMath>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t>0.92</m:t>
              </m:r>
            </m:oMath>
            <w:r>
              <w:rPr>
                <w:rFonts w:ascii="Georgia" w:hAnsi="Georgia"/>
                <w:sz w:val="19"/>
              </w:rPr>
              <w:t xml:space="preserve"> </w:t>
            </w:r>
            <m:oMath>
              <m:d>
                <m:dPr>
                  <m:begChr m:val="["/>
                  <m:sepChr m:val=""/>
                  <m:endChr m:val="]"/>
                  <m:grow/>
                </m:dPr>
                <m:e>
                  <m:r>
                    <m:t>0.91</m:t>
                  </m:r>
                  <m:r>
                    <m:rPr>
                      <m:sty m:val="p"/>
                    </m:rPr>
                    <m:t>,</m:t>
                  </m:r>
                  <m:r>
                    <m:t>0.93</m:t>
                  </m:r>
                </m:e>
              </m:d>
            </m:oMath>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t>0.876</m:t>
              </m:r>
              <m:r>
                <m:rPr>
                  <m:sty m:val="p"/>
                </m:rPr>
                <m:t>±</m:t>
              </m:r>
              <m:r>
                <m:t>0.012</m:t>
              </m:r>
            </m:oMath>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t>0.950</m:t>
              </m:r>
            </m:oMath>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TREC</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t>10</m:t>
              </m:r>
            </m:oMath>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t>1.00</m:t>
              </m:r>
            </m:oMath>
            <w:r>
              <w:rPr>
                <w:rFonts w:ascii="Georgia" w:hAnsi="Georgia"/>
                <w:sz w:val="19"/>
              </w:rPr>
              <w:t xml:space="preserve"> </w:t>
            </w:r>
            <m:oMath>
              <m:d>
                <m:dPr>
                  <m:begChr m:val="["/>
                  <m:sepChr m:val=""/>
                  <m:endChr m:val="]"/>
                  <m:grow/>
                </m:dPr>
                <m:e>
                  <m:r>
                    <m:t>0.92</m:t>
                  </m:r>
                  <m:r>
                    <m:rPr>
                      <m:sty m:val="p"/>
                    </m:rPr>
                    <m:t>,</m:t>
                  </m:r>
                  <m:r>
                    <m:t>1.08</m:t>
                  </m:r>
                </m:e>
              </m:d>
            </m:oMath>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t>0.609</m:t>
              </m:r>
              <m:r>
                <m:rPr>
                  <m:sty m:val="p"/>
                </m:rPr>
                <m:t>±</m:t>
              </m:r>
              <m:r>
                <m:t>0.056</m:t>
              </m:r>
            </m:oMath>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t>0.607</m:t>
              </m:r>
            </m:oMath>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b/>
                <w:bCs/>
                <w:sz w:val="19"/>
              </w:rPr>
              <w:t xml:space="preserve">Cross-task envelope</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n/a</w:t>
            </w:r>
          </w:p>
        </w:tc>
        <w:tc>
          <w:tcPr>
            <w:tcBorders>
              <w:left w:val="nil"/>
              <w:right w:val="nil"/>
              <w:top w:val="nil"/>
              <w:bottom w:val="nil"/>
            </w:tcBorders>
            <w:vAlign w:val="center"/>
          </w:tcPr>
          <w:p>
            <w:pPr>
              <w:pStyle w:val="Compact"/>
              <w:spacing w:before="0" w:after="20" w:line="240" w:lineRule="auto"/>
              <w:jc w:val="center"/>
              <w:keepNext w:val="0"/>
              <w:keepLines/>
              <w:widowControl w:val="1"/>
            </w:pPr>
            <m:oMath>
              <m:r>
                <m:t>10</m:t>
              </m:r>
            </m:oMath>
            <w:r>
              <w:rPr>
                <w:rFonts w:ascii="Georgia" w:hAnsi="Georgia"/>
                <w:sz w:val="19"/>
              </w:rPr>
              <w:t xml:space="preserve"> </w:t>
            </w:r>
            <w:r>
              <w:rPr>
                <w:rFonts w:ascii="Georgia" w:hAnsi="Georgia"/>
                <w:sz w:val="19"/>
              </w:rPr>
              <w:t xml:space="preserve">to</w:t>
            </w:r>
            <w:r>
              <w:rPr>
                <w:rFonts w:ascii="Georgia" w:hAnsi="Georgia"/>
                <w:sz w:val="19"/>
              </w:rPr>
              <w:t xml:space="preserve"> </w:t>
            </w:r>
            <m:oMath>
              <m:r>
                <m:t>30</m:t>
              </m:r>
            </m:oMath>
          </w:p>
        </w:tc>
        <w:tc>
          <w:tcPr>
            <w:tcBorders>
              <w:left w:val="nil"/>
              <w:right w:val="nil"/>
              <w:top w:val="nil"/>
              <w:bottom w:val="nil"/>
            </w:tcBorders>
            <w:vAlign w:val="center"/>
          </w:tcPr>
          <w:p>
            <w:pPr>
              <w:pStyle w:val="Compact"/>
              <w:spacing w:before="0" w:after="20" w:line="240" w:lineRule="auto"/>
              <w:jc w:val="center"/>
              <w:keepNext w:val="0"/>
              <w:keepLines/>
              <w:widowControl w:val="1"/>
            </w:pPr>
            <m:oMath>
              <m:d>
                <m:dPr>
                  <m:begChr m:val="["/>
                  <m:sepChr m:val=""/>
                  <m:endChr m:val="]"/>
                  <m:grow/>
                </m:dPr>
                <m:e>
                  <m:r>
                    <m:t>0.91</m:t>
                  </m:r>
                  <m:r>
                    <m:rPr>
                      <m:sty m:val="p"/>
                    </m:rPr>
                    <m:t>,</m:t>
                  </m:r>
                  <m:r>
                    <m:t>1.07</m:t>
                  </m:r>
                </m:e>
              </m:d>
            </m:oMath>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n/a</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n/a</w:t>
            </w:r>
          </w:p>
        </w:tc>
      </w:tr>
    </w:tbl>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1" w:space="288"/>
          <w:docGrid w:linePitch="360"/>
        </w:sectPr>
      </w:pPr>
    </w:p>
    <w:p>
      <w:pPr>
        <w:pStyle w:val="BodyText"/>
        <w:jc w:val="both"/>
        <w:keepNext w:val="0"/>
        <w:keepLines w:val="0"/>
        <w:widowControl w:val="1"/>
      </w:pPr>
      <w:r>
        <w:t xml:space="preserve">Three patterns hold across the cross-task headline, reported on the relative-ratio scale of Table 4 where</w:t>
      </w:r>
      <w:r>
        <w:t xml:space="preserve"> </w:t>
      </w:r>
      <m:oMath>
        <m:r>
          <m:t>1.0</m:t>
        </m:r>
      </m:oMath>
      <w:r>
        <w:t xml:space="preserve"> </w:t>
      </w:r>
      <w:r>
        <w:t xml:space="preserve">matches real-only.</w:t>
      </w:r>
      <w:r>
        <w:t xml:space="preserve"> </w:t>
      </w:r>
      <w:r>
        <w:rPr>
          <w:b/>
          <w:bCs/>
        </w:rPr>
        <w:t xml:space="preserve">(i) SST-2 ratio</w:t>
      </w:r>
      <w:r>
        <w:rPr>
          <w:b/>
          <w:bCs/>
        </w:rPr>
        <w:t xml:space="preserve"> </w:t>
      </w:r>
      <m:oMath>
        <m:r>
          <m:t>1.04</m:t>
        </m:r>
      </m:oMath>
      <w:r>
        <w:rPr>
          <w:b/>
          <w:bCs/>
        </w:rPr>
        <w:t xml:space="preserve"> </w:t>
      </w:r>
      <m:oMath>
        <m:d>
          <m:dPr>
            <m:begChr m:val="["/>
            <m:sepChr m:val=""/>
            <m:endChr m:val="]"/>
            <m:grow/>
          </m:dPr>
          <m:e>
            <m:r>
              <m:t>1.00</m:t>
            </m:r>
            <m:r>
              <m:rPr>
                <m:sty m:val="p"/>
              </m:rPr>
              <m:t>,</m:t>
            </m:r>
            <m:r>
              <m:t>1.07</m:t>
            </m:r>
          </m:e>
        </m:d>
      </m:oMath>
      <w:r>
        <w:rPr>
          <w:b/>
          <w:bCs/>
        </w:rPr>
        <w:t xml:space="preserve">.</w:t>
      </w:r>
      <w:r>
        <w:t xml:space="preserve"> </w:t>
      </w:r>
      <w:r>
        <w:t xml:space="preserve">The bracket excludes</w:t>
      </w:r>
      <w:r>
        <w:t xml:space="preserve"> </w:t>
      </w:r>
      <m:oMath>
        <m:r>
          <m:t>1.0</m:t>
        </m:r>
      </m:oMath>
      <w:r>
        <w:t xml:space="preserve"> </w:t>
      </w:r>
      <w:r>
        <w:t xml:space="preserve">at the lower bound (just), so SynSmith beats real-only on a binary sentiment task at</w:t>
      </w:r>
      <w:r>
        <w:t xml:space="preserve"> </w:t>
      </w:r>
      <m:oMath>
        <m:r>
          <m:t>30</m:t>
        </m:r>
      </m:oMath>
      <w:r>
        <w:t xml:space="preserve"> </w:t>
      </w:r>
      <w:r>
        <w:t xml:space="preserve">real-train per class.</w:t>
      </w:r>
      <w:r>
        <w:t xml:space="preserve"> </w:t>
      </w:r>
      <w:r>
        <w:rPr>
          <w:b/>
          <w:bCs/>
        </w:rPr>
        <w:t xml:space="preserve">(ii) Banking77 ratio</w:t>
      </w:r>
      <w:r>
        <w:rPr>
          <w:b/>
          <w:bCs/>
        </w:rPr>
        <w:t xml:space="preserve"> </w:t>
      </w:r>
      <m:oMath>
        <m:r>
          <m:t>0.92</m:t>
        </m:r>
      </m:oMath>
      <w:r>
        <w:rPr>
          <w:b/>
          <w:bCs/>
        </w:rPr>
        <w:t xml:space="preserve"> </w:t>
      </w:r>
      <m:oMath>
        <m:d>
          <m:dPr>
            <m:begChr m:val="["/>
            <m:sepChr m:val=""/>
            <m:endChr m:val="]"/>
            <m:grow/>
          </m:dPr>
          <m:e>
            <m:r>
              <m:t>0.91</m:t>
            </m:r>
            <m:r>
              <m:rPr>
                <m:sty m:val="p"/>
              </m:rPr>
              <m:t>,</m:t>
            </m:r>
            <m:r>
              <m:t>0.93</m:t>
            </m:r>
          </m:e>
        </m:d>
      </m:oMath>
      <w:r>
        <w:rPr>
          <w:b/>
          <w:bCs/>
        </w:rPr>
        <w:t xml:space="preserve">.</w:t>
      </w:r>
      <w:r>
        <w:t xml:space="preserve"> </w:t>
      </w:r>
      <w:r>
        <w:t xml:space="preserve">The bracket is entirely below</w:t>
      </w:r>
      <w:r>
        <w:t xml:space="preserve"> </w:t>
      </w:r>
      <m:oMath>
        <m:r>
          <m:t>1.0</m:t>
        </m:r>
      </m:oMath>
      <w:r>
        <w:t xml:space="preserve">, putting SynSmith</w:t>
      </w:r>
      <w:r>
        <w:t xml:space="preserve"> </w:t>
      </w:r>
      <m:oMath>
        <m:r>
          <m:t>7</m:t>
        </m:r>
      </m:oMath>
      <w:r>
        <w:t xml:space="preserve"> </w:t>
      </w:r>
      <w:r>
        <w:t xml:space="preserve">to</w:t>
      </w:r>
      <w:r>
        <w:t xml:space="preserve"> </w:t>
      </w:r>
      <m:oMath>
        <m:r>
          <m:t>9</m:t>
        </m:r>
        <m:r>
          <m:rPr>
            <m:sty m:val="p"/>
          </m:rPr>
          <m:t>%</m:t>
        </m:r>
      </m:oMath>
      <w:r>
        <w:t xml:space="preserve"> </w:t>
      </w:r>
      <w:r>
        <w:t xml:space="preserve">below real-only on a</w:t>
      </w:r>
      <w:r>
        <w:t xml:space="preserve"> </w:t>
      </w:r>
      <m:oMath>
        <m:r>
          <m:t>10</m:t>
        </m:r>
      </m:oMath>
      <w:r>
        <w:t xml:space="preserve">-class fine-grained intent task with</w:t>
      </w:r>
      <w:r>
        <w:t xml:space="preserve"> </w:t>
      </w:r>
      <m:oMath>
        <m:r>
          <m:t>300</m:t>
        </m:r>
      </m:oMath>
      <w:r>
        <w:t xml:space="preserve"> </w:t>
      </w:r>
      <w:r>
        <w:t xml:space="preserve">real-train. The bracket is narrow (</w:t>
      </w:r>
      <m:oMath>
        <m:r>
          <m:t>σ</m:t>
        </m:r>
        <m:r>
          <m:rPr>
            <m:sty m:val="p"/>
          </m:rPr>
          <m:t>=</m:t>
        </m:r>
        <m:r>
          <m:t>0.012</m:t>
        </m:r>
      </m:oMath>
      <w:r>
        <w:t xml:space="preserve"> </w:t>
      </w:r>
      <w:r>
        <w:t xml:space="preserve">on the absolute F1), so the synthetic distribution is stable across seeds even though it does not match a strong real baseline on this task.</w:t>
      </w:r>
      <w:r>
        <w:t xml:space="preserve"> </w:t>
      </w:r>
      <w:r>
        <w:rPr>
          <w:b/>
          <w:bCs/>
        </w:rPr>
        <w:t xml:space="preserve">(iii) TREC ratio</w:t>
      </w:r>
      <w:r>
        <w:rPr>
          <w:b/>
          <w:bCs/>
        </w:rPr>
        <w:t xml:space="preserve"> </w:t>
      </w:r>
      <m:oMath>
        <m:r>
          <m:t>1.00</m:t>
        </m:r>
      </m:oMath>
      <w:r>
        <w:rPr>
          <w:b/>
          <w:bCs/>
        </w:rPr>
        <w:t xml:space="preserve"> </w:t>
      </w:r>
      <m:oMath>
        <m:d>
          <m:dPr>
            <m:begChr m:val="["/>
            <m:sepChr m:val=""/>
            <m:endChr m:val="]"/>
            <m:grow/>
          </m:dPr>
          <m:e>
            <m:r>
              <m:t>0.92</m:t>
            </m:r>
            <m:r>
              <m:rPr>
                <m:sty m:val="p"/>
              </m:rPr>
              <m:t>,</m:t>
            </m:r>
            <m:r>
              <m:t>1.08</m:t>
            </m:r>
          </m:e>
        </m:d>
      </m:oMath>
      <w:r>
        <w:rPr>
          <w:b/>
          <w:bCs/>
        </w:rPr>
        <w:t xml:space="preserve">.</w:t>
      </w:r>
      <w:r>
        <w:t xml:space="preserve"> </w:t>
      </w:r>
      <w:r>
        <w:t xml:space="preserve">The bracket straddles</w:t>
      </w:r>
      <w:r>
        <w:t xml:space="preserve"> </w:t>
      </w:r>
      <m:oMath>
        <m:r>
          <m:t>1.0</m:t>
        </m:r>
      </m:oMath>
      <w:r>
        <w:t xml:space="preserve">, so SynSmith matches real-only at</w:t>
      </w:r>
      <w:r>
        <w:t xml:space="preserve"> </w:t>
      </w:r>
      <m:oMath>
        <m:r>
          <m:t>10</m:t>
        </m:r>
      </m:oMath>
      <w:r>
        <w:t xml:space="preserve"> </w:t>
      </w:r>
      <w:r>
        <w:t xml:space="preserve">real-train per class on a</w:t>
      </w:r>
      <w:r>
        <w:t xml:space="preserve"> </w:t>
      </w:r>
      <m:oMath>
        <m:r>
          <m:t>6</m:t>
        </m:r>
      </m:oMath>
      <w:r>
        <w:t xml:space="preserve">-class question-type task. The cross-task envelope,</w:t>
      </w:r>
      <w:r>
        <w:t xml:space="preserve"> </w:t>
      </w:r>
      <m:oMath>
        <m:d>
          <m:dPr>
            <m:begChr m:val="["/>
            <m:sepChr m:val=""/>
            <m:endChr m:val="]"/>
            <m:grow/>
          </m:dPr>
          <m:e>
            <m:r>
              <m:t>0.91</m:t>
            </m:r>
            <m:r>
              <m:rPr>
                <m:sty m:val="p"/>
              </m:rPr>
              <m:t>,</m:t>
            </m:r>
            <m:r>
              <m:t>1.07</m:t>
            </m:r>
          </m:e>
        </m:d>
      </m:oMath>
      <w:r>
        <w:t xml:space="preserve">, is the headline: SynSmith reaches at least</w:t>
      </w:r>
      <w:r>
        <w:t xml:space="preserve"> </w:t>
      </w:r>
      <m:oMath>
        <m:r>
          <m:t>91</m:t>
        </m:r>
        <m:r>
          <m:rPr>
            <m:sty m:val="p"/>
          </m:rPr>
          <m:t>%</m:t>
        </m:r>
      </m:oMath>
      <w:r>
        <w:t xml:space="preserve"> </w:t>
      </w:r>
      <w:r>
        <w:t xml:space="preserve">of real-only macro F1 across three benchmarks at the scarce-real operating point.</w:t>
      </w:r>
    </w:p>
    <w:bookmarkEnd w:id="51"/>
    <w:bookmarkEnd w:id="52"/>
    <w:bookmarkStart w:id="53" w:name="sec-audit"/>
    <w:p>
      <w:pPr>
        <w:pStyle w:val="Heading2"/>
        <w:keepNext/>
        <w:keepLines/>
        <w:widowControl w:val="1"/>
      </w:pPr>
      <w:r>
        <w:t xml:space="preserve">8</w:t>
      </w:r>
      <w:r>
        <w:t xml:space="preserve"> </w:t>
      </w:r>
      <w:r>
        <w:t xml:space="preserve">Post-hoc adversary audit</w:t>
      </w:r>
    </w:p>
    <w:p>
      <w:pPr>
        <w:pStyle w:val="FirstParagraph"/>
        <w:jc w:val="both"/>
        <w:keepNext w:val="0"/>
        <w:keepLines w:val="0"/>
        <w:widowControl w:val="1"/>
      </w:pPr>
      <w:r>
        <w:t xml:space="preserve">A naive ablation table reports critic metrics only for the condition that enabled that critic during training, producing tautological "n/a" entries that prevent cross-condition comparison. The</w:t>
      </w:r>
      <w:r>
        <w:t xml:space="preserve"> </w:t>
      </w:r>
      <w:r>
        <w:rPr>
          <w:b/>
          <w:bCs/>
        </w:rPr>
        <w:t xml:space="preserve">post-hoc adversary audit</w:t>
      </w:r>
      <w:r>
        <w:t xml:space="preserve"> </w:t>
      </w:r>
      <w:r>
        <w:t xml:space="preserve">runs each of the four GAN-style adversaries on every condition's final batch with fresh random seeds and a real-vs-real null reference computed once on a held-out split, yielding apples-to-apples adversary scores across the full grid. The full audit protocol, per-condition Pack accuracy and Mode Hunter tic counts, and the two non-differentiating metrics (Mode-Seeking ratio, Coverage AUROC) are in</w:t>
      </w:r>
      <w:r>
        <w:t xml:space="preserve"> </w:t>
      </w:r>
      <w:hyperlink w:anchor="sec-appendix-audit">
        <w:r>
          <w:rPr>
            <w:rStyle w:val="Hyperlink"/>
          </w:rPr>
          <w:t xml:space="preserve">Appendix G</w:t>
        </w:r>
      </w:hyperlink>
      <w:r>
        <w:t xml:space="preserve">.</w:t>
      </w:r>
    </w:p>
    <w:p>
      <w:pPr>
        <w:pStyle w:val="BodyText"/>
        <w:jc w:val="both"/>
        <w:keepNext w:val="0"/>
        <w:keepLines w:val="0"/>
        <w:widowControl w:val="1"/>
      </w:pPr>
      <w:r>
        <w:t xml:space="preserve">Two findings the body builds on.</w:t>
      </w:r>
      <w:r>
        <w:t xml:space="preserve"> </w:t>
      </w:r>
      <w:r>
        <w:rPr>
          <w:b/>
          <w:bCs/>
        </w:rPr>
        <w:t xml:space="preserve">(i) Pack Discriminator.</w:t>
      </w:r>
      <w:r>
        <w:t xml:space="preserve"> </w:t>
      </w:r>
      <w:r>
        <w:t xml:space="preserve">Among iterated conditions, SynSmith sits at the low (more diverse) end of pack accuracy (</w:t>
      </w:r>
      <m:oMath>
        <m:r>
          <m:t>0.53</m:t>
        </m:r>
        <m:r>
          <m:rPr>
            <m:sty m:val="p"/>
          </m:rPr>
          <m:t>±</m:t>
        </m:r>
        <m:r>
          <m:t>0.08</m:t>
        </m:r>
      </m:oMath>
      <w:r>
        <w:t xml:space="preserve">, below the real-vs-real null reference of</w:t>
      </w:r>
      <w:r>
        <w:t xml:space="preserve"> </w:t>
      </w:r>
      <m:oMath>
        <m:r>
          <m:t>0.56</m:t>
        </m:r>
      </m:oMath>
      <w:r>
        <w:t xml:space="preserve">); Baseline-3C is at</w:t>
      </w:r>
      <w:r>
        <w:t xml:space="preserve"> </w:t>
      </w:r>
      <m:oMath>
        <m:r>
          <m:t>0.58</m:t>
        </m:r>
        <m:r>
          <m:rPr>
            <m:sty m:val="p"/>
          </m:rPr>
          <m:t>±</m:t>
        </m:r>
        <m:r>
          <m:t>0.10</m:t>
        </m:r>
      </m:oMath>
      <w:r>
        <w:t xml:space="preserve">, slightly above null. SynSmith's synthetic batch is at-least-as-diverse-as-real under the pack test; Baseline-3C is marginally above null.</w:t>
      </w:r>
      <w:r>
        <w:t xml:space="preserve"> </w:t>
      </w:r>
      <w:r>
        <w:rPr>
          <w:b/>
          <w:bCs/>
        </w:rPr>
        <w:t xml:space="preserve">(ii) Mode Hunter.</w:t>
      </w:r>
      <w:r>
        <w:t xml:space="preserve"> </w:t>
      </w:r>
      <w:r>
        <w:t xml:space="preserve">SynSmith's banned-phrasings library accumulates</w:t>
      </w:r>
      <w:r>
        <w:t xml:space="preserve"> </w:t>
      </w:r>
      <m:oMath>
        <m:r>
          <m:t>11.6</m:t>
        </m:r>
        <m:r>
          <m:rPr>
            <m:sty m:val="p"/>
          </m:rPr>
          <m:t>±</m:t>
        </m:r>
        <m:r>
          <m:t>0.6</m:t>
        </m:r>
      </m:oMath>
      <w:r>
        <w:t xml:space="preserve"> </w:t>
      </w:r>
      <w:r>
        <w:t xml:space="preserve">distinct LLM-tic entries across three iterations, each verified to appear in</w:t>
      </w:r>
      <w:r>
        <w:t xml:space="preserve"> </w:t>
      </w:r>
      <m:oMath>
        <m:r>
          <m:rPr>
            <m:sty m:val="p"/>
          </m:rPr>
          <m:t>≥</m:t>
        </m:r>
        <m:r>
          <m:t>1</m:t>
        </m:r>
      </m:oMath>
      <w:r>
        <w:t xml:space="preserve"> </w:t>
      </w:r>
      <w:r>
        <w:t xml:space="preserve">synthetic sample and</w:t>
      </w:r>
      <w:r>
        <w:t xml:space="preserve"> </w:t>
      </w:r>
      <m:oMath>
        <m:r>
          <m:t>0</m:t>
        </m:r>
      </m:oMath>
      <w:r>
        <w:t xml:space="preserve"> </w:t>
      </w:r>
      <w:r>
        <w:t xml:space="preserve">real samples, each suppressed in subsequent generation; no other iterated condition exposes this signal because no other condition enables the Mode Hunter. The Mode-Seeking ratio (approximately constant at</w:t>
      </w:r>
      <w:r>
        <w:t xml:space="preserve"> </w:t>
      </w:r>
      <m:oMath>
        <m:r>
          <m:t>0.23</m:t>
        </m:r>
        <m:r>
          <m:rPr>
            <m:sty m:val="p"/>
          </m:rPr>
          <m:t>±</m:t>
        </m:r>
        <m:r>
          <m:t>0.01</m:t>
        </m:r>
      </m:oMath>
      <w:r>
        <w:t xml:space="preserve"> </w:t>
      </w:r>
      <w:r>
        <w:t xml:space="preserve">across conditions under TF-IDF) and Coverage AUROC (saturates at</w:t>
      </w:r>
      <w:r>
        <w:t xml:space="preserve"> </w:t>
      </w:r>
      <m:oMath>
        <m:r>
          <m:t>1.00</m:t>
        </m:r>
      </m:oMath>
      <w:r>
        <w:t xml:space="preserve"> </w:t>
      </w:r>
      <w:r>
        <w:t xml:space="preserve">under in-sample fit on this task) do not differentiate conditions and are reported in the appendix but omitted from the headline.</w:t>
      </w:r>
    </w:p>
    <w:bookmarkEnd w:id="53"/>
    <w:bookmarkStart w:id="58" w:name="sec-discussion"/>
    <w:p>
      <w:pPr>
        <w:pStyle w:val="Heading2"/>
        <w:keepNext/>
        <w:keepLines/>
        <w:widowControl w:val="1"/>
      </w:pPr>
      <w:r>
        <w:t xml:space="preserve">9</w:t>
      </w:r>
      <w:r>
        <w:t xml:space="preserve"> </w:t>
      </w:r>
      <w:r>
        <w:t xml:space="preserve">Discussion</w:t>
      </w:r>
    </w:p>
    <w:bookmarkStart w:id="54" w:name="what-the-live-llm-evaluation-shows"/>
    <w:p>
      <w:pPr>
        <w:pStyle w:val="Heading3"/>
        <w:keepNext/>
        <w:keepLines/>
        <w:widowControl w:val="1"/>
      </w:pPr>
      <w:r>
        <w:t xml:space="preserve">9.1</w:t>
      </w:r>
      <w:r>
        <w:t xml:space="preserve"> </w:t>
      </w:r>
      <w:r>
        <w:t xml:space="preserve">What the live-LLM evaluation shows</w:t>
      </w:r>
    </w:p>
    <w:p>
      <w:pPr>
        <w:pStyle w:val="FirstParagraph"/>
        <w:jc w:val="both"/>
        <w:keepNext w:val="0"/>
        <w:keepLines w:val="0"/>
        <w:widowControl w:val="1"/>
      </w:pPr>
      <w:r>
        <w:t xml:space="preserve">The evaluation establishes three substantive claims at</w:t>
      </w:r>
      <w:r>
        <w:t xml:space="preserve"> </w:t>
      </w:r>
      <m:oMath>
        <m:r>
          <m:t>N</m:t>
        </m:r>
        <m:r>
          <m:rPr>
            <m:sty m:val="p"/>
          </m:rPr>
          <m:t>=</m:t>
        </m:r>
        <m:r>
          <m:t>10</m:t>
        </m:r>
      </m:oMath>
      <w:r>
        <w:t xml:space="preserve"> </w:t>
      </w:r>
      <w:r>
        <w:t xml:space="preserve">seeds on customer-support intent classification and a Banking77 cross-domain replication. First, iteration produces a measurable</w:t>
      </w:r>
      <w:r>
        <w:t xml:space="preserve"> </w:t>
      </w:r>
      <m:oMath>
        <m:r>
          <m:t>2</m:t>
        </m:r>
        <m:r>
          <m:rPr>
            <m:sty m:val="p"/>
          </m:rPr>
          <m:t>×</m:t>
        </m:r>
      </m:oMath>
      <w:r>
        <w:t xml:space="preserve"> </w:t>
      </w:r>
      <w:r>
        <w:t xml:space="preserve">semantic-diversity gain over non-iterated baselines, robustly across the iterated cluster (Vendi</w:t>
      </w:r>
      <w:r>
        <w:t xml:space="preserve"> </w:t>
      </w:r>
      <m:oMath>
        <m:r>
          <m:t>19.2</m:t>
        </m:r>
      </m:oMath>
      <w:r>
        <w:t xml:space="preserve"> </w:t>
      </w:r>
      <w:r>
        <w:t xml:space="preserve">versus</w:t>
      </w:r>
      <w:r>
        <w:t xml:space="preserve"> </w:t>
      </w:r>
      <m:oMath>
        <m:r>
          <m:t>10.0</m:t>
        </m:r>
      </m:oMath>
      <w:r>
        <w:t xml:space="preserve">, Section 7.2 with full table in Appendix F). Second, cross-condition classifier ensembling extracts decision-boundary diversity from the iterated cluster: the seven-critic loop ties for the top ensemble pair at macro F1</w:t>
      </w:r>
      <w:r>
        <w:t xml:space="preserve"> </w:t>
      </w:r>
      <m:oMath>
        <m:r>
          <m:t>0.947</m:t>
        </m:r>
        <m:r>
          <m:rPr>
            <m:sty m:val="p"/>
          </m:rPr>
          <m:t>±</m:t>
        </m:r>
        <m:r>
          <m:t>0.056</m:t>
        </m:r>
      </m:oMath>
      <w:r>
        <w:t xml:space="preserve"> </w:t>
      </w:r>
      <w:r>
        <w:t xml:space="preserve">with</w:t>
      </w:r>
      <w:r>
        <w:t xml:space="preserve"> </w:t>
      </w:r>
      <m:oMath>
        <m:r>
          <m:t>1.65</m:t>
        </m:r>
        <m:r>
          <m:rPr>
            <m:sty m:val="p"/>
          </m:rPr>
          <m:t>×</m:t>
        </m:r>
      </m:oMath>
      <w:r>
        <w:t xml:space="preserve"> </w:t>
      </w:r>
      <w:r>
        <w:t xml:space="preserve">lower seed variance than any solo condition and a</w:t>
      </w:r>
      <w:r>
        <w:t xml:space="preserve"> </w:t>
      </w:r>
      <m:oMath>
        <m:r>
          <m:rPr>
            <m:sty m:val="p"/>
          </m:rPr>
          <m:t>+</m:t>
        </m:r>
        <m:r>
          <m:t>0.233</m:t>
        </m:r>
      </m:oMath>
      <w:r>
        <w:t xml:space="preserve"> </w:t>
      </w:r>
      <w:r>
        <w:t xml:space="preserve">paired lift on worst-class F1 (Section 7.3). Third, synthetic augmentation lifts macro F1 the most at the scarce-real extreme on both tasks; the Banking77 replication at</w:t>
      </w:r>
      <w:r>
        <w:t xml:space="preserve"> </w:t>
      </w:r>
      <m:oMath>
        <m:sSub>
          <m:e>
            <m:r>
              <m:t>n</m:t>
            </m:r>
          </m:e>
          <m:sub>
            <m:r>
              <m:rPr>
                <m:nor/>
                <m:sty m:val="p"/>
              </m:rPr>
              <m:t>real</m:t>
            </m:r>
          </m:sub>
        </m:sSub>
        <m:r>
          <m:rPr>
            <m:sty m:val="p"/>
          </m:rPr>
          <m:t>=</m:t>
        </m:r>
        <m:r>
          <m:t>10</m:t>
        </m:r>
      </m:oMath>
      <w:r>
        <w:t xml:space="preserve"> </w:t>
      </w:r>
      <w:r>
        <w:t xml:space="preserve">converts a real-only macro F1 of</w:t>
      </w:r>
      <w:r>
        <w:t xml:space="preserve"> </w:t>
      </w:r>
      <m:oMath>
        <m:r>
          <m:t>0.726</m:t>
        </m:r>
        <m:r>
          <m:rPr>
            <m:sty m:val="p"/>
          </m:rPr>
          <m:t>±</m:t>
        </m:r>
        <m:r>
          <m:t>0.052</m:t>
        </m:r>
      </m:oMath>
      <w:r>
        <w:t xml:space="preserve"> </w:t>
      </w:r>
      <w:r>
        <w:t xml:space="preserve">to</w:t>
      </w:r>
      <w:r>
        <w:t xml:space="preserve"> </w:t>
      </w:r>
      <m:oMath>
        <m:r>
          <m:t>0.876</m:t>
        </m:r>
        <m:r>
          <m:rPr>
            <m:sty m:val="p"/>
          </m:rPr>
          <m:t>±</m:t>
        </m:r>
        <m:r>
          <m:t>0.009</m:t>
        </m:r>
      </m:oMath>
      <w:r>
        <w:t xml:space="preserve"> </w:t>
      </w:r>
      <w:r>
        <w:t xml:space="preserve">(</w:t>
      </w:r>
      <m:oMath>
        <m:r>
          <m:t>5.8</m:t>
        </m:r>
        <m:r>
          <m:rPr>
            <m:sty m:val="p"/>
          </m:rPr>
          <m:t>×</m:t>
        </m:r>
      </m:oMath>
      <w:r>
        <w:t xml:space="preserve"> </w:t>
      </w:r>
      <w:r>
        <w:t xml:space="preserve">variance reduction) and worst-class F1 from</w:t>
      </w:r>
      <w:r>
        <w:t xml:space="preserve"> </w:t>
      </w:r>
      <m:oMath>
        <m:r>
          <m:t>0.319</m:t>
        </m:r>
        <m:r>
          <m:rPr>
            <m:sty m:val="p"/>
          </m:rPr>
          <m:t>±</m:t>
        </m:r>
        <m:r>
          <m:t>0.181</m:t>
        </m:r>
      </m:oMath>
      <w:r>
        <w:t xml:space="preserve"> </w:t>
      </w:r>
      <w:r>
        <w:t xml:space="preserve">to</w:t>
      </w:r>
      <w:r>
        <w:t xml:space="preserve"> </w:t>
      </w:r>
      <m:oMath>
        <m:r>
          <m:t>0.720</m:t>
        </m:r>
        <m:r>
          <m:rPr>
            <m:sty m:val="p"/>
          </m:rPr>
          <m:t>±</m:t>
        </m:r>
        <m:r>
          <m:t>0.046</m:t>
        </m:r>
      </m:oMath>
      <w:r>
        <w:t xml:space="preserve"> </w:t>
      </w:r>
      <w:r>
        <w:t xml:space="preserve">(</w:t>
      </w:r>
      <m:oMath>
        <m:r>
          <m:rPr>
            <m:sty m:val="p"/>
          </m:rPr>
          <m:t>+</m:t>
        </m:r>
        <m:r>
          <m:t>0.401</m:t>
        </m:r>
      </m:oMath>
      <w:r>
        <w:t xml:space="preserve">,</w:t>
      </w:r>
      <w:r>
        <w:t xml:space="preserve"> </w:t>
      </w:r>
      <m:oMath>
        <m:r>
          <m:t>3.9</m:t>
        </m:r>
        <m:r>
          <m:rPr>
            <m:sty m:val="p"/>
          </m:rPr>
          <m:t>×</m:t>
        </m:r>
      </m:oMath>
      <w:r>
        <w:t xml:space="preserve"> </w:t>
      </w:r>
      <w:r>
        <w:t xml:space="preserve">variance reduction; Section 7.4).</w:t>
      </w:r>
    </w:p>
    <w:bookmarkEnd w:id="54"/>
    <w:bookmarkStart w:id="55" w:name="scope-of-the-evaluation"/>
    <w:p>
      <w:pPr>
        <w:pStyle w:val="Heading3"/>
        <w:keepNext/>
        <w:keepLines/>
        <w:widowControl w:val="1"/>
      </w:pPr>
      <w:r>
        <w:t xml:space="preserve">9.2</w:t>
      </w:r>
      <w:r>
        <w:t xml:space="preserve"> </w:t>
      </w:r>
      <w:r>
        <w:t xml:space="preserve">Scope of the evaluation</w:t>
      </w:r>
    </w:p>
    <w:p>
      <w:pPr>
        <w:pStyle w:val="FirstParagraph"/>
        <w:jc w:val="both"/>
        <w:keepNext w:val="0"/>
        <w:keepLines w:val="0"/>
        <w:widowControl w:val="1"/>
      </w:pPr>
      <w:r>
        <w:t xml:space="preserve">Three boundaries delimit the claims above.</w:t>
      </w:r>
      <w:r>
        <w:t xml:space="preserve"> </w:t>
      </w:r>
      <w:r>
        <w:rPr>
          <w:i/>
          <w:iCs/>
        </w:rPr>
        <w:t xml:space="preserve">Statistical scope:</w:t>
      </w:r>
      <w:r>
        <w:t xml:space="preserve"> </w:t>
      </w:r>
      <w:r>
        <w:t xml:space="preserve">the cross-condition ensemble gain over the best individual condition (Realism-only) is</w:t>
      </w:r>
      <w:r>
        <w:t xml:space="preserve"> </w:t>
      </w:r>
      <m:oMath>
        <m:r>
          <m:rPr>
            <m:sty m:val="p"/>
          </m:rPr>
          <m:t>+</m:t>
        </m:r>
        <m:r>
          <m:t>0.036</m:t>
        </m:r>
      </m:oMath>
      <w:r>
        <w:t xml:space="preserve"> </w:t>
      </w:r>
      <w:r>
        <w:t xml:space="preserve">macro F1, paired-t</w:t>
      </w:r>
      <w:r>
        <w:t xml:space="preserve"> </w:t>
      </w:r>
      <m:oMath>
        <m:r>
          <m:t>p</m:t>
        </m:r>
        <m:r>
          <m:rPr>
            <m:sty m:val="p"/>
          </m:rPr>
          <m:t>=</m:t>
        </m:r>
        <m:r>
          <m:t>0.310</m:t>
        </m:r>
      </m:oMath>
      <w:r>
        <w:t xml:space="preserve">, paired BCa</w:t>
      </w:r>
      <w:r>
        <w:t xml:space="preserve"> </w:t>
      </w:r>
      <m:oMath>
        <m:r>
          <m:t>95</m:t>
        </m:r>
        <m:r>
          <m:rPr>
            <m:sty m:val="p"/>
          </m:rPr>
          <m:t>%</m:t>
        </m:r>
      </m:oMath>
      <w:r>
        <w:t xml:space="preserve"> </w:t>
      </w:r>
      <w:r>
        <w:t xml:space="preserve">CI</w:t>
      </w:r>
      <w:r>
        <w:t xml:space="preserve"> </w:t>
      </w:r>
      <m:oMath>
        <m:r>
          <m:rPr>
            <m:sty m:val="p"/>
          </m:rPr>
          <m:t>[</m:t>
        </m:r>
        <m:r>
          <m:rPr>
            <m:sty m:val="p"/>
          </m:rPr>
          <m:t>−</m:t>
        </m:r>
        <m:r>
          <m:t>0.033</m:t>
        </m:r>
        <m:r>
          <m:rPr>
            <m:sty m:val="p"/>
          </m:rPr>
          <m:t>,</m:t>
        </m:r>
        <m:r>
          <m:rPr>
            <m:sty m:val="p"/>
          </m:rPr>
          <m:t>+</m:t>
        </m:r>
        <m:r>
          <m:t>0.089</m:t>
        </m:r>
        <m:r>
          <m:rPr>
            <m:sty m:val="p"/>
          </m:rPr>
          <m:t>]</m:t>
        </m:r>
      </m:oMath>
      <w:r>
        <w:t xml:space="preserve"> </w:t>
      </w:r>
      <w:r>
        <w:t xml:space="preserve">which crosses zero at</w:t>
      </w:r>
      <w:r>
        <w:t xml:space="preserve"> </w:t>
      </w:r>
      <m:oMath>
        <m:r>
          <m:t>N</m:t>
        </m:r>
        <m:r>
          <m:rPr>
            <m:sty m:val="p"/>
          </m:rPr>
          <m:t>=</m:t>
        </m:r>
        <m:r>
          <m:t>10</m:t>
        </m:r>
      </m:oMath>
      <w:r>
        <w:t xml:space="preserve">. The tighter signals are the variance reduction (</w:t>
      </w:r>
      <m:oMath>
        <m:r>
          <m:t>1.65</m:t>
        </m:r>
        <m:r>
          <m:rPr>
            <m:sty m:val="p"/>
          </m:rPr>
          <m:t>×</m:t>
        </m:r>
      </m:oMath>
      <w:r>
        <w:t xml:space="preserve"> </w:t>
      </w:r>
      <w:r>
        <w:t xml:space="preserve">on macro F1,</w:t>
      </w:r>
      <w:r>
        <w:t xml:space="preserve"> </w:t>
      </w:r>
      <m:oMath>
        <m:r>
          <m:t>1.74</m:t>
        </m:r>
        <m:r>
          <m:rPr>
            <m:sty m:val="p"/>
          </m:rPr>
          <m:t>×</m:t>
        </m:r>
      </m:oMath>
      <w:r>
        <w:t xml:space="preserve"> </w:t>
      </w:r>
      <w:r>
        <w:t xml:space="preserve">on worst-class F1) and two BCa CIs that exclude zero:</w:t>
      </w:r>
      <w:r>
        <w:t xml:space="preserve"> </w:t>
      </w:r>
      <m:oMath>
        <m:r>
          <m:rPr>
            <m:sty m:val="p"/>
          </m:rPr>
          <m:t>+</m:t>
        </m:r>
        <m:r>
          <m:t>0.073</m:t>
        </m:r>
      </m:oMath>
      <w:r>
        <w:t xml:space="preserve"> </w:t>
      </w:r>
      <w:r>
        <w:t xml:space="preserve">macro F1 over Baseline-3C solo (BCa</w:t>
      </w:r>
      <w:r>
        <w:t xml:space="preserve"> </w:t>
      </w:r>
      <m:oMath>
        <m:r>
          <m:rPr>
            <m:sty m:val="p"/>
          </m:rPr>
          <m:t>[</m:t>
        </m:r>
        <m:r>
          <m:rPr>
            <m:sty m:val="p"/>
          </m:rPr>
          <m:t>+</m:t>
        </m:r>
        <m:r>
          <m:t>0.009</m:t>
        </m:r>
        <m:r>
          <m:rPr>
            <m:sty m:val="p"/>
          </m:rPr>
          <m:t>,</m:t>
        </m:r>
        <m:r>
          <m:rPr>
            <m:sty m:val="p"/>
          </m:rPr>
          <m:t>+</m:t>
        </m:r>
        <m:r>
          <m:t>0.141</m:t>
        </m:r>
        <m:r>
          <m:rPr>
            <m:sty m:val="p"/>
          </m:rPr>
          <m:t>]</m:t>
        </m:r>
      </m:oMath>
      <w:r>
        <w:t xml:space="preserve">) and</w:t>
      </w:r>
      <w:r>
        <w:t xml:space="preserve"> </w:t>
      </w:r>
      <m:oMath>
        <m:r>
          <m:rPr>
            <m:sty m:val="p"/>
          </m:rPr>
          <m:t>+</m:t>
        </m:r>
        <m:r>
          <m:t>0.233</m:t>
        </m:r>
      </m:oMath>
      <w:r>
        <w:t xml:space="preserve"> </w:t>
      </w:r>
      <w:r>
        <w:t xml:space="preserve">worst-class F1 over the seven-critic loop solo (BCa</w:t>
      </w:r>
      <w:r>
        <w:t xml:space="preserve"> </w:t>
      </w:r>
      <m:oMath>
        <m:r>
          <m:rPr>
            <m:sty m:val="p"/>
          </m:rPr>
          <m:t>[</m:t>
        </m:r>
        <m:r>
          <m:rPr>
            <m:sty m:val="p"/>
          </m:rPr>
          <m:t>+</m:t>
        </m:r>
        <m:r>
          <m:t>0.067</m:t>
        </m:r>
        <m:r>
          <m:rPr>
            <m:sty m:val="p"/>
          </m:rPr>
          <m:t>,</m:t>
        </m:r>
        <m:r>
          <m:rPr>
            <m:sty m:val="p"/>
          </m:rPr>
          <m:t>+</m:t>
        </m:r>
        <m:r>
          <m:t>0.500</m:t>
        </m:r>
        <m:r>
          <m:rPr>
            <m:sty m:val="p"/>
          </m:rPr>
          <m:t>]</m:t>
        </m:r>
      </m:oMath>
      <w:r>
        <w:t xml:space="preserve">). Both top-tied ensemble pairs (Self-critique + SynSmith and Self-critique + Diversity-only) yield identical macro and worst-class F1, so the contribution attaches to</w:t>
      </w:r>
      <w:r>
        <w:t xml:space="preserve"> </w:t>
      </w:r>
      <w:r>
        <w:rPr>
          <w:i/>
          <w:iCs/>
        </w:rPr>
        <w:t xml:space="preserve">iteration with structured critics</w:t>
      </w:r>
      <w:r>
        <w:t xml:space="preserve"> </w:t>
      </w:r>
      <w:r>
        <w:t xml:space="preserve">rather than to the four GAN-style adversaries specifically.</w:t>
      </w:r>
      <w:r>
        <w:t xml:space="preserve"> </w:t>
      </w:r>
      <w:r>
        <w:rPr>
          <w:i/>
          <w:iCs/>
        </w:rPr>
        <w:t xml:space="preserve">Task scope:</w:t>
      </w:r>
      <w:r>
        <w:t xml:space="preserve"> </w:t>
      </w:r>
      <w:r>
        <w:t xml:space="preserve">customer-support and Banking77 share intent-classification structure; broader replication across instruction-following or open-ended generation is the natural next step.</w:t>
      </w:r>
      <w:r>
        <w:t xml:space="preserve"> </w:t>
      </w:r>
      <w:r>
        <w:rPr>
          <w:i/>
          <w:iCs/>
        </w:rPr>
        <w:t xml:space="preserve">Backend scope:</w:t>
      </w:r>
      <w:r>
        <w:t xml:space="preserve"> </w:t>
      </w:r>
      <w:r>
        <w:t xml:space="preserve">all critics, the generator, and the updater use</w:t>
      </w:r>
      <w:r>
        <w:t xml:space="preserve"> </w:t>
      </w:r>
      <w:r>
        <w:rPr>
          <w:rStyle w:val="VerbatimChar"/>
        </w:rPr>
        <w:t xml:space="preserve">gpt-4o-mini</w:t>
      </w:r>
      <w:r>
        <w:t xml:space="preserve">; the multi-vendor judge ensembling described in Section 10 as future work would diversify the realism signal across models.</w:t>
      </w:r>
    </w:p>
    <w:bookmarkEnd w:id="55"/>
    <w:bookmarkStart w:id="56" w:name="comparison-with-concurrent-work"/>
    <w:p>
      <w:pPr>
        <w:pStyle w:val="Heading3"/>
        <w:keepNext/>
        <w:keepLines/>
        <w:widowControl w:val="1"/>
      </w:pPr>
      <w:r>
        <w:t xml:space="preserve">9.3</w:t>
      </w:r>
      <w:r>
        <w:t xml:space="preserve"> </w:t>
      </w:r>
      <w:r>
        <w:t xml:space="preserve">Comparison with concurrent work</w:t>
      </w:r>
    </w:p>
    <w:p>
      <w:pPr>
        <w:pStyle w:val="FirstParagraph"/>
        <w:jc w:val="both"/>
        <w:keepNext w:val="0"/>
        <w:keepLines w:val="0"/>
        <w:widowControl w:val="1"/>
      </w:pPr>
      <w:r>
        <w:t xml:space="preserve">Three contemporary lines deserve explicit contrast.</w:t>
      </w:r>
      <w:r>
        <w:t xml:space="preserve"> </w:t>
      </w:r>
      <w:r>
        <w:rPr>
          <w:b/>
          <w:bCs/>
        </w:rPr>
        <w:t xml:space="preserve">Verbalized Sampling</w:t>
      </w:r>
      <w:r>
        <w:t xml:space="preserve"> </w:t>
      </w:r>
      <w:hyperlink w:anchor="ref-verbsampling">
        <w:r>
          <w:rPr>
            <w:rStyle w:val="Hyperlink"/>
          </w:rPr>
          <w:t xml:space="preserve">[30]</w:t>
        </w:r>
      </w:hyperlink>
      <w:r>
        <w:t xml:space="preserve"> </w:t>
      </w:r>
      <w:r>
        <w:t xml:space="preserve">diagnoses LLM mode collapse as a typicality bias in preference training data and proposes a single-prompt fix: ask the model to verbalize a distribution over responses, then sample from it. Our framing is complementary: we treat the LLM's parameters as fixed and attack collapse from outside through batch-level adversaries that the model's own training pipeline never sees, which addresses both attribute-deaf generation and homogeneous-pack collapse without prompt-level workarounds.</w:t>
      </w:r>
      <w:r>
        <w:t xml:space="preserve"> </w:t>
      </w:r>
      <w:r>
        <w:rPr>
          <w:b/>
          <w:bCs/>
        </w:rPr>
        <w:t xml:space="preserve">NanoFlux</w:t>
      </w:r>
      <w:r>
        <w:t xml:space="preserve"> </w:t>
      </w:r>
      <w:hyperlink w:anchor="ref-nanoflux">
        <w:r>
          <w:rPr>
            <w:rStyle w:val="Hyperlink"/>
          </w:rPr>
          <w:t xml:space="preserve">[31]</w:t>
        </w:r>
      </w:hyperlink>
      <w:r>
        <w:t xml:space="preserve"> </w:t>
      </w:r>
      <w:r>
        <w:t xml:space="preserve">is the closest existing GAN-style framework for LLM data, pairing one attacker LLM and one defender LLM under a tool-augmented judge. Our setup has seven critics rather than two roles, and our four adversaries are structural transfers of specific GAN defenses (PacGAN, MSGAN, ban-list training, density ratio) rather than free-form roles, so the contributions are complementary: NanoFlux generates adversarial training examples, while we attack mode collapse during the prompt-debugging step.</w:t>
      </w:r>
    </w:p>
    <w:bookmarkEnd w:id="56"/>
    <w:bookmarkStart w:id="57" w:name="sec-beyond-classification"/>
    <w:p>
      <w:pPr>
        <w:pStyle w:val="Heading3"/>
        <w:keepNext/>
        <w:keepLines/>
        <w:widowControl w:val="1"/>
      </w:pPr>
      <w:r>
        <w:t xml:space="preserve">9.4</w:t>
      </w:r>
      <w:r>
        <w:t xml:space="preserve"> </w:t>
      </w:r>
      <w:r>
        <w:t xml:space="preserve">Extension beyond single-label classification</w:t>
      </w:r>
    </w:p>
    <w:p>
      <w:pPr>
        <w:pStyle w:val="FirstParagraph"/>
        <w:jc w:val="both"/>
        <w:keepNext w:val="0"/>
        <w:keepLines w:val="0"/>
        <w:widowControl w:val="1"/>
      </w:pPr>
      <w:r>
        <w:t xml:space="preserve">The empirical evaluation is established on single-label text classification, where the schema names one categorical label, the Verifier enforces class-primary fidelity, and the downstream evaluator trains a sentence-transformer plus logistic-regression classifier on the synthetic batch. The seven-critic loop, the structured-feedback contract, the four GAN-style adversaries, and the post-hoc audit are not themselves classification-specific: they operate on a text batch and on a real seed of comparable texts. Natural-language-inference, multi-class topic classification, and other single-label classification tasks fit the present formulation unchanged. Sequence labeling (NER, POS, slot-filling) requires a span-aware Verifier and a span-F1 evaluator; the four GAN-style adversaries remain span-agnostic. Open-ended generation (summarization, translation, dialogue) requires a constraint-checking Verifier and a reference-based or judge-based evaluator. In each case the loop architecture is the constant and the task-specific surfaces (Verifier role, evaluator, ensemble combiner) are the variables.</w:t>
      </w:r>
    </w:p>
    <w:bookmarkEnd w:id="57"/>
    <w:bookmarkEnd w:id="58"/>
    <w:bookmarkStart w:id="59" w:name="sec-limitations"/>
    <w:p>
      <w:pPr>
        <w:pStyle w:val="Heading2"/>
        <w:keepNext/>
        <w:keepLines/>
        <w:widowControl w:val="1"/>
      </w:pPr>
      <w:r>
        <w:t xml:space="preserve">10</w:t>
      </w:r>
      <w:r>
        <w:t xml:space="preserve"> </w:t>
      </w:r>
      <w:r>
        <w:t xml:space="preserve">Limitations</w:t>
      </w:r>
    </w:p>
    <w:p>
      <w:pPr>
        <w:pStyle w:val="Compact"/>
        <w:numPr>
          <w:ilvl w:val="0"/>
          <w:numId w:val="1002"/>
        </w:numPr>
        <w:ind w:left="360" w:hanging="259"/>
        <w:jc w:val="both"/>
        <w:keepNext w:val="0"/>
        <w:keepLines w:val="0"/>
        <w:widowControl w:val="1"/>
      </w:pPr>
      <w:r>
        <w:rPr>
          <w:b/>
          <w:bCs/>
        </w:rPr>
        <w:t xml:space="preserve">Validated regime.</w:t>
      </w:r>
      <w:r>
        <w:t xml:space="preserve"> </w:t>
      </w:r>
      <w:r>
        <w:t xml:space="preserve">All headline numbers are at</w:t>
      </w:r>
      <w:r>
        <w:t xml:space="preserve"> </w:t>
      </w:r>
      <m:oMath>
        <m:r>
          <m:t>10</m:t>
        </m:r>
      </m:oMath>
      <w:r>
        <w:t xml:space="preserve"> </w:t>
      </w:r>
      <w:r>
        <w:t xml:space="preserve">to</w:t>
      </w:r>
      <w:r>
        <w:t xml:space="preserve"> </w:t>
      </w:r>
      <m:oMath>
        <m:r>
          <m:t>30</m:t>
        </m:r>
      </m:oMath>
      <w:r>
        <w:t xml:space="preserve"> </w:t>
      </w:r>
      <w:r>
        <w:t xml:space="preserve">real-train examples per class (Section 6.5); the framework's behaviour at $&lt; 3$ per class (the anchoring floor) and at</w:t>
      </w:r>
      <w:r>
        <w:t xml:space="preserve"> </w:t>
      </w:r>
      <m:oMath>
        <m:r>
          <m:rPr>
            <m:sty m:val="p"/>
          </m:rPr>
          <m:t>≳</m:t>
        </m:r>
        <m:r>
          <m:t>100</m:t>
        </m:r>
      </m:oMath>
      <w:r>
        <w:t xml:space="preserve"> </w:t>
      </w:r>
      <w:r>
        <w:t xml:space="preserve">per class (where a real-only classifier is already strong) is not characterized in this paper.</w:t>
      </w:r>
    </w:p>
    <w:p>
      <w:pPr>
        <w:pStyle w:val="Compact"/>
        <w:numPr>
          <w:ilvl w:val="0"/>
          <w:numId w:val="1002"/>
        </w:numPr>
        <w:ind w:left="360" w:hanging="259"/>
        <w:jc w:val="both"/>
        <w:keepNext w:val="0"/>
        <w:keepLines w:val="0"/>
        <w:widowControl w:val="1"/>
      </w:pPr>
      <w:r>
        <w:rPr>
          <w:b/>
          <w:bCs/>
        </w:rPr>
        <w:t xml:space="preserve">Classification scope.</w:t>
      </w:r>
      <w:r>
        <w:t xml:space="preserve"> </w:t>
      </w:r>
      <w:r>
        <w:t xml:space="preserve">The empirical results are established on single-label classification (customer-support, Banking77, SST-2, TREC). NLI and other single-label classification tasks fit the present formulation unchanged; sequence labeling (NER, POS) and open-ended generation (summarization, translation, paraphrase, dialogue) require task-specific Verifier and evaluator components. The extension paths are sketched in Section 9.4.</w:t>
      </w:r>
    </w:p>
    <w:p>
      <w:pPr>
        <w:pStyle w:val="Compact"/>
        <w:numPr>
          <w:ilvl w:val="0"/>
          <w:numId w:val="1002"/>
        </w:numPr>
        <w:ind w:left="360" w:hanging="259"/>
        <w:jc w:val="both"/>
        <w:keepNext w:val="0"/>
        <w:keepLines w:val="0"/>
        <w:widowControl w:val="1"/>
      </w:pPr>
      <w:r>
        <w:rPr>
          <w:b/>
          <w:bCs/>
        </w:rPr>
        <w:t xml:space="preserve">Single backend.</w:t>
      </w:r>
      <w:r>
        <w:t xml:space="preserve"> </w:t>
      </w:r>
      <w:r>
        <w:t xml:space="preserve">All critics, the generator, and the updater use</w:t>
      </w:r>
      <w:r>
        <w:t xml:space="preserve"> </w:t>
      </w:r>
      <w:r>
        <w:rPr>
          <w:rStyle w:val="VerbatimChar"/>
        </w:rPr>
        <w:t xml:space="preserve">gpt-4o-mini</w:t>
      </w:r>
      <w:r>
        <w:t xml:space="preserve">. A multi-vendor judge ensemble (e.g., claude-3-haiku</w:t>
      </w:r>
      <w:r>
        <w:t xml:space="preserve"> </w:t>
      </w:r>
      <m:oMath>
        <m:r>
          <m:rPr>
            <m:sty m:val="p"/>
          </m:rPr>
          <m:t>+</m:t>
        </m:r>
      </m:oMath>
      <w:r>
        <w:t xml:space="preserve"> </w:t>
      </w:r>
      <w:r>
        <w:t xml:space="preserve">gpt-4o-mini</w:t>
      </w:r>
      <w:r>
        <w:t xml:space="preserve"> </w:t>
      </w:r>
      <m:oMath>
        <m:r>
          <m:rPr>
            <m:sty m:val="p"/>
          </m:rPr>
          <m:t>+</m:t>
        </m:r>
      </m:oMath>
      <w:r>
        <w:t xml:space="preserve"> </w:t>
      </w:r>
      <w:r>
        <w:t xml:space="preserve">gemini-flash) would diversify the realism signal across model families and is a natural addition to the framework.</w:t>
      </w:r>
    </w:p>
    <w:p>
      <w:pPr>
        <w:pStyle w:val="Compact"/>
        <w:numPr>
          <w:ilvl w:val="0"/>
          <w:numId w:val="1002"/>
        </w:numPr>
        <w:ind w:left="360" w:hanging="259"/>
        <w:jc w:val="both"/>
        <w:keepNext w:val="0"/>
        <w:keepLines w:val="0"/>
        <w:widowControl w:val="1"/>
      </w:pPr>
      <w:r>
        <w:rPr>
          <w:b/>
          <w:bCs/>
        </w:rPr>
        <w:t xml:space="preserve">Symmetry asymmetry.</w:t>
      </w:r>
      <w:r>
        <w:t xml:space="preserve"> </w:t>
      </w:r>
      <w:r>
        <w:t xml:space="preserve">Pack Discriminator and Mode Hunter emit "named complaints" (pack patterns, banned substrings) that the updater consumes natively. Mode-Seeking emits a scalar and a vector; Coverage Hole Finder emits an exemplar list. Both are rendered into named clauses by the updater but their structural fit with the named-complaint contract is partial.</w:t>
      </w:r>
    </w:p>
    <w:p>
      <w:pPr>
        <w:pStyle w:val="Compact"/>
        <w:numPr>
          <w:ilvl w:val="0"/>
          <w:numId w:val="1002"/>
        </w:numPr>
        <w:ind w:left="360" w:hanging="259"/>
        <w:jc w:val="both"/>
        <w:keepNext w:val="0"/>
        <w:keepLines w:val="0"/>
        <w:widowControl w:val="1"/>
      </w:pPr>
      <w:r>
        <w:rPr>
          <w:b/>
          <w:bCs/>
        </w:rPr>
        <w:t xml:space="preserve">Pack discriminator audit cardinality.</w:t>
      </w:r>
      <w:r>
        <w:t xml:space="preserve"> </w:t>
      </w:r>
      <w:r>
        <w:t xml:space="preserve">The audit uses</w:t>
      </w:r>
      <w:r>
        <w:t xml:space="preserve"> </w:t>
      </w:r>
      <m:oMath>
        <m:sSub>
          <m:e>
            <m:r>
              <m:t>n</m:t>
            </m:r>
          </m:e>
          <m:sub>
            <m:r>
              <m:rPr>
                <m:nor/>
                <m:sty m:val="p"/>
              </m:rPr>
              <m:t>comparisons</m:t>
            </m:r>
          </m:sub>
        </m:sSub>
        <m:r>
          <m:rPr>
            <m:sty m:val="p"/>
          </m:rPr>
          <m:t>=</m:t>
        </m:r>
        <m:r>
          <m:t>16</m:t>
        </m:r>
      </m:oMath>
      <w:r>
        <w:t xml:space="preserve"> </w:t>
      </w:r>
      <w:r>
        <w:t xml:space="preserve">in vs</w:t>
      </w:r>
      <w:r>
        <w:t xml:space="preserve"> </w:t>
      </w:r>
      <m:oMath>
        <m:r>
          <m:t>4</m:t>
        </m:r>
      </m:oMath>
      <w:r>
        <w:t xml:space="preserve"> </w:t>
      </w:r>
      <w:r>
        <w:t xml:space="preserve">in the loop, which quantizes pack accuracy to</w:t>
      </w:r>
      <w:r>
        <w:t xml:space="preserve"> </w:t>
      </w:r>
      <m:oMath>
        <m:r>
          <m:t>17</m:t>
        </m:r>
      </m:oMath>
      <w:r>
        <w:t xml:space="preserve"> </w:t>
      </w:r>
      <w:r>
        <w:t xml:space="preserve">values. Larger</w:t>
      </w:r>
      <w:r>
        <w:t xml:space="preserve"> </w:t>
      </w:r>
      <m:oMath>
        <m:sSub>
          <m:e>
            <m:r>
              <m:t>n</m:t>
            </m:r>
          </m:e>
          <m:sub>
            <m:r>
              <m:rPr>
                <m:nor/>
                <m:sty m:val="p"/>
              </m:rPr>
              <m:t>comparisons</m:t>
            </m:r>
          </m:sub>
        </m:sSub>
      </m:oMath>
      <w:r>
        <w:t xml:space="preserve"> </w:t>
      </w:r>
      <w:r>
        <w:t xml:space="preserve">would tighten error bars on the audit at proportional API cost.</w:t>
      </w:r>
    </w:p>
    <w:p>
      <w:pPr>
        <w:pStyle w:val="Compact"/>
        <w:numPr>
          <w:ilvl w:val="0"/>
          <w:numId w:val="1002"/>
        </w:numPr>
        <w:ind w:left="360" w:hanging="259"/>
        <w:jc w:val="both"/>
        <w:keepNext w:val="0"/>
        <w:keepLines w:val="0"/>
        <w:widowControl w:val="1"/>
      </w:pPr>
      <w:r>
        <w:rPr>
          <w:b/>
          <w:bCs/>
        </w:rPr>
        <w:t xml:space="preserve">Per-rewrite causal attribution.</w:t>
      </w:r>
      <w:r>
        <w:t xml:space="preserve"> </w:t>
      </w:r>
      <w:r>
        <w:t xml:space="preserve">The updater produces one rewrite per iteration. A prompt-diff attribution mechanism (running both prompts against the same target vectors and measuring metric deltas) would assign credit to specific updater edits; we leave this to future work.</w:t>
      </w:r>
    </w:p>
    <w:p>
      <w:pPr>
        <w:pStyle w:val="Compact"/>
        <w:numPr>
          <w:ilvl w:val="0"/>
          <w:numId w:val="1002"/>
        </w:numPr>
        <w:ind w:left="360" w:hanging="259"/>
        <w:jc w:val="both"/>
        <w:keepNext w:val="0"/>
        <w:keepLines w:val="0"/>
        <w:widowControl w:val="1"/>
      </w:pPr>
      <w:r>
        <w:rPr>
          <w:b/>
          <w:bCs/>
        </w:rPr>
        <w:t xml:space="preserve">Updater length budget enforcement.</w:t>
      </w:r>
      <w:r>
        <w:t xml:space="preserve"> </w:t>
      </w:r>
      <w:r>
        <w:t xml:space="preserve">The 280-word budget is rendered as an instruction in the user message and respected by the live LLM through instruction following rather than enforced programmatically.</w:t>
      </w:r>
    </w:p>
    <w:bookmarkEnd w:id="59"/>
    <w:bookmarkStart w:id="60" w:name="sec-conclusion"/>
    <w:p>
      <w:pPr>
        <w:pStyle w:val="Heading2"/>
        <w:keepNext/>
        <w:keepLines/>
        <w:widowControl w:val="1"/>
      </w:pPr>
      <w:r>
        <w:t xml:space="preserve">11</w:t>
      </w:r>
      <w:r>
        <w:t xml:space="preserve"> </w:t>
      </w:r>
      <w:r>
        <w:t xml:space="preserve">Conclusion</w:t>
      </w:r>
    </w:p>
    <w:p>
      <w:pPr>
        <w:pStyle w:val="FirstParagraph"/>
        <w:jc w:val="both"/>
        <w:keepNext w:val="0"/>
        <w:keepLines w:val="0"/>
        <w:widowControl w:val="1"/>
      </w:pPr>
      <w:r>
        <w:t xml:space="preserve">We presented SynSmith, a seven-critic prompt-debugging loop that combines three baseline critics (attribute verifier, realism discriminator, diversity auditor) with four GAN-inspired adversaries adapted to the prompt-debugging setting (Pack Discriminator, Mode-Seeking ratio, Mode Hunter with persistent banned-phrasings memory, Coverage Hole Finder via density-ratio estimation). The empirical headline, reported on a relative-ratio scale where</w:t>
      </w:r>
      <w:r>
        <w:t xml:space="preserve"> </w:t>
      </w:r>
      <m:oMath>
        <m:r>
          <m:t>1.0</m:t>
        </m:r>
      </m:oMath>
      <w:r>
        <w:t xml:space="preserve"> </w:t>
      </w:r>
      <w:r>
        <w:t xml:space="preserve">matches real-only macro F1, is that SynSmith trains a downstream classifier on synthetic data alone and reaches</w:t>
      </w:r>
      <w:r>
        <w:t xml:space="preserve"> </w:t>
      </w:r>
      <m:oMath>
        <m:d>
          <m:dPr>
            <m:begChr m:val="["/>
            <m:sepChr m:val=""/>
            <m:endChr m:val="]"/>
            <m:grow/>
          </m:dPr>
          <m:e>
            <m:r>
              <m:t>0.91</m:t>
            </m:r>
            <m:r>
              <m:rPr>
                <m:sty m:val="p"/>
              </m:rPr>
              <m:t>,</m:t>
            </m:r>
            <m:r>
              <m:t>1.07</m:t>
            </m:r>
          </m:e>
        </m:d>
      </m:oMath>
      <w:r>
        <w:t xml:space="preserve"> </w:t>
      </w:r>
      <w:r>
        <w:t xml:space="preserve">of real-only across three standard benchmarks at</w:t>
      </w:r>
      <w:r>
        <w:t xml:space="preserve"> </w:t>
      </w:r>
      <m:oMath>
        <m:r>
          <m:t>10</m:t>
        </m:r>
      </m:oMath>
      <w:r>
        <w:t xml:space="preserve"> </w:t>
      </w:r>
      <w:r>
        <w:t xml:space="preserve">to</w:t>
      </w:r>
      <w:r>
        <w:t xml:space="preserve"> </w:t>
      </w:r>
      <m:oMath>
        <m:r>
          <m:t>30</m:t>
        </m:r>
      </m:oMath>
      <w:r>
        <w:t xml:space="preserve"> </w:t>
      </w:r>
      <w:r>
        <w:t xml:space="preserve">real-train per class: SST-2 ratio</w:t>
      </w:r>
      <w:r>
        <w:t xml:space="preserve"> </w:t>
      </w:r>
      <m:oMath>
        <m:r>
          <m:t>1.04</m:t>
        </m:r>
      </m:oMath>
      <w:r>
        <w:t xml:space="preserve"> </w:t>
      </w:r>
      <m:oMath>
        <m:d>
          <m:dPr>
            <m:begChr m:val="["/>
            <m:sepChr m:val=""/>
            <m:endChr m:val="]"/>
            <m:grow/>
          </m:dPr>
          <m:e>
            <m:r>
              <m:t>1.00</m:t>
            </m:r>
            <m:r>
              <m:rPr>
                <m:sty m:val="p"/>
              </m:rPr>
              <m:t>,</m:t>
            </m:r>
            <m:r>
              <m:t>1.07</m:t>
            </m:r>
          </m:e>
        </m:d>
      </m:oMath>
      <w:r>
        <w:t xml:space="preserve"> </w:t>
      </w:r>
      <w:r>
        <w:t xml:space="preserve">(beats real-only), Banking77</w:t>
      </w:r>
      <w:r>
        <w:t xml:space="preserve"> </w:t>
      </w:r>
      <m:oMath>
        <m:r>
          <m:t>0.92</m:t>
        </m:r>
      </m:oMath>
      <w:r>
        <w:t xml:space="preserve"> </w:t>
      </w:r>
      <m:oMath>
        <m:d>
          <m:dPr>
            <m:begChr m:val="["/>
            <m:sepChr m:val=""/>
            <m:endChr m:val="]"/>
            <m:grow/>
          </m:dPr>
          <m:e>
            <m:r>
              <m:t>0.91</m:t>
            </m:r>
            <m:r>
              <m:rPr>
                <m:sty m:val="p"/>
              </m:rPr>
              <m:t>,</m:t>
            </m:r>
            <m:r>
              <m:t>0.93</m:t>
            </m:r>
          </m:e>
        </m:d>
      </m:oMath>
      <w:r>
        <w:t xml:space="preserve"> </w:t>
      </w:r>
      <w:r>
        <w:t xml:space="preserve">(trails by</w:t>
      </w:r>
      <w:r>
        <w:t xml:space="preserve"> </w:t>
      </w:r>
      <m:oMath>
        <m:r>
          <m:t>7</m:t>
        </m:r>
      </m:oMath>
      <w:r>
        <w:t xml:space="preserve"> </w:t>
      </w:r>
      <w:r>
        <w:t xml:space="preserve">to</w:t>
      </w:r>
      <w:r>
        <w:t xml:space="preserve"> </w:t>
      </w:r>
      <m:oMath>
        <m:r>
          <m:t>9</m:t>
        </m:r>
        <m:r>
          <m:rPr>
            <m:sty m:val="p"/>
          </m:rPr>
          <m:t>%</m:t>
        </m:r>
      </m:oMath>
      <w:r>
        <w:t xml:space="preserve">), TREC</w:t>
      </w:r>
      <w:r>
        <w:t xml:space="preserve"> </w:t>
      </w:r>
      <m:oMath>
        <m:r>
          <m:t>1.00</m:t>
        </m:r>
      </m:oMath>
      <w:r>
        <w:t xml:space="preserve"> </w:t>
      </w:r>
      <m:oMath>
        <m:d>
          <m:dPr>
            <m:begChr m:val="["/>
            <m:sepChr m:val=""/>
            <m:endChr m:val="]"/>
            <m:grow/>
          </m:dPr>
          <m:e>
            <m:r>
              <m:t>0.92</m:t>
            </m:r>
            <m:r>
              <m:rPr>
                <m:sty m:val="p"/>
              </m:rPr>
              <m:t>,</m:t>
            </m:r>
            <m:r>
              <m:t>1.08</m:t>
            </m:r>
          </m:e>
        </m:d>
      </m:oMath>
      <w:r>
        <w:t xml:space="preserve"> </w:t>
      </w:r>
      <w:r>
        <w:t xml:space="preserve">(matches real-only), all at</w:t>
      </w:r>
      <w:r>
        <w:t xml:space="preserve"> </w:t>
      </w:r>
      <m:oMath>
        <m:r>
          <m:t>N</m:t>
        </m:r>
        <m:r>
          <m:rPr>
            <m:sty m:val="p"/>
          </m:rPr>
          <m:t>=</m:t>
        </m:r>
        <m:r>
          <m:t>5</m:t>
        </m:r>
      </m:oMath>
      <w:r>
        <w:t xml:space="preserve"> </w:t>
      </w:r>
      <w:r>
        <w:t xml:space="preserve">seeds. The relative ratio is the comparison-ready metric; absolute macro F1 values are reported alongside in Table 4.</w:t>
      </w:r>
    </w:p>
    <w:p>
      <w:pPr>
        <w:pStyle w:val="BodyText"/>
        <w:jc w:val="both"/>
        <w:keepNext w:val="0"/>
        <w:keepLines w:val="0"/>
        <w:widowControl w:val="1"/>
      </w:pPr>
      <w:r>
        <w:t xml:space="preserve">A leave-one-out component ablation (Section 7.3, Appendix H) attributes the gain to specific mechanisms: iteration with the structured-feedback contract carries the largest single share, the Pack Discriminator and Mode Hunter contribute distinct per-class lift on the failure modes they were designed to attack (in-batch register repetition and opener phrasings respectively), and Mode-Seeking and Coverage Hole Finder do not measurably differentiate conditions in our experiments. The post-hoc adversary audit with a real-vs-real null reference (Section 8) corroborates this scoping: it retires the tautological "n/a" entries of single-critic ablation tables and pins SynSmith's downstream lift to specific named mechanisms rather than to "we used many critics".</w:t>
      </w:r>
    </w:p>
    <w:p>
      <w:pPr>
        <w:pStyle w:val="BodyText"/>
        <w:jc w:val="both"/>
        <w:keepNext w:val="0"/>
        <w:keepLines w:val="0"/>
        <w:widowControl w:val="1"/>
      </w:pPr>
      <w:r>
        <w:t xml:space="preserve">On customer-support intent classification, SynSmith additionally combines with the simplest iterated baseline through cross-condition classifier ensembling (Section 7.3): logit-averaging two iterated conditions (e.g. Self-critique with SynSmith) reaches macro F1</w:t>
      </w:r>
      <w:r>
        <w:t xml:space="preserve"> </w:t>
      </w:r>
      <m:oMath>
        <m:r>
          <m:t>0.947</m:t>
        </m:r>
        <m:r>
          <m:rPr>
            <m:sty m:val="p"/>
          </m:rPr>
          <m:t>±</m:t>
        </m:r>
        <m:r>
          <m:t>0.056</m:t>
        </m:r>
      </m:oMath>
      <w:r>
        <w:t xml:space="preserve"> </w:t>
      </w:r>
      <w:r>
        <w:t xml:space="preserve">at</w:t>
      </w:r>
      <w:r>
        <w:t xml:space="preserve"> </w:t>
      </w:r>
      <m:oMath>
        <m:r>
          <m:t>N</m:t>
        </m:r>
        <m:r>
          <m:rPr>
            <m:sty m:val="p"/>
          </m:rPr>
          <m:t>=</m:t>
        </m:r>
        <m:r>
          <m:t>10</m:t>
        </m:r>
      </m:oMath>
      <w:r>
        <w:t xml:space="preserve"> </w:t>
      </w:r>
      <w:r>
        <w:t xml:space="preserve">seeds,</w:t>
      </w:r>
      <w:r>
        <w:t xml:space="preserve"> </w:t>
      </w:r>
      <m:oMath>
        <m:r>
          <m:rPr>
            <m:sty m:val="p"/>
          </m:rPr>
          <m:t>+</m:t>
        </m:r>
        <m:r>
          <m:t>0.233</m:t>
        </m:r>
      </m:oMath>
      <w:r>
        <w:t xml:space="preserve"> </w:t>
      </w:r>
      <w:r>
        <w:t xml:space="preserve">on worst-class F1 over the seven-critic loop solo (BCa</w:t>
      </w:r>
      <w:r>
        <w:t xml:space="preserve"> </w:t>
      </w:r>
      <m:oMath>
        <m:r>
          <m:t>95</m:t>
        </m:r>
        <m:r>
          <m:rPr>
            <m:sty m:val="p"/>
          </m:rPr>
          <m:t>%</m:t>
        </m:r>
      </m:oMath>
      <w:r>
        <w:t xml:space="preserve"> </w:t>
      </w:r>
      <w:r>
        <w:t xml:space="preserve">CI</w:t>
      </w:r>
      <w:r>
        <w:t xml:space="preserve"> </w:t>
      </w:r>
      <m:oMath>
        <m:r>
          <m:rPr>
            <m:sty m:val="p"/>
          </m:rPr>
          <m:t>[</m:t>
        </m:r>
        <m:r>
          <m:rPr>
            <m:sty m:val="p"/>
          </m:rPr>
          <m:t>+</m:t>
        </m:r>
        <m:r>
          <m:t>0.067</m:t>
        </m:r>
        <m:r>
          <m:rPr>
            <m:sty m:val="p"/>
          </m:rPr>
          <m:t>,</m:t>
        </m:r>
        <m:r>
          <m:rPr>
            <m:sty m:val="p"/>
          </m:rPr>
          <m:t>+</m:t>
        </m:r>
        <m:r>
          <m:t>0.500</m:t>
        </m:r>
        <m:r>
          <m:rPr>
            <m:sty m:val="p"/>
          </m:rPr>
          <m:t>]</m:t>
        </m:r>
      </m:oMath>
      <w:r>
        <w:t xml:space="preserve">, excludes zero), with</w:t>
      </w:r>
      <w:r>
        <w:t xml:space="preserve"> </w:t>
      </w:r>
      <m:oMath>
        <m:r>
          <m:t>1.65</m:t>
        </m:r>
        <m:r>
          <m:rPr>
            <m:sty m:val="p"/>
          </m:rPr>
          <m:t>×</m:t>
        </m:r>
      </m:oMath>
      <w:r>
        <w:t xml:space="preserve"> </w:t>
      </w:r>
      <w:r>
        <w:t xml:space="preserve">lower seed variance than any solo condition. The ensemble result holds on the augmentation regime where a small real-train set is concatenated with the synthetic batch; on the cross-task synth-only headline above, SynSmith solo is the recommended configuration.</w:t>
      </w:r>
    </w:p>
    <w:p>
      <w:pPr>
        <w:pStyle w:val="BodyText"/>
        <w:jc w:val="both"/>
        <w:keepNext w:val="0"/>
        <w:keepLines w:val="0"/>
        <w:widowControl w:val="1"/>
      </w:pPr>
      <w:r>
        <w:rPr>
          <w:i/>
          <w:iCs/>
        </w:rPr>
        <w:t xml:space="preserve">What the GAN-style adversaries contribute.</w:t>
      </w:r>
      <w:r>
        <w:t xml:space="preserve"> </w:t>
      </w:r>
      <w:r>
        <w:t xml:space="preserve">Even though the ensemble win is attributable to iteration plus the structured-critic feedback contract rather than to the four GAN-style adversaries specifically, the adversaries have a measurable, distinct contribution: SynSmith holds the highest distinct-</w:t>
      </w:r>
      <m:oMath>
        <m:r>
          <m:t>n</m:t>
        </m:r>
      </m:oMath>
      <w:r>
        <w:t xml:space="preserve"> </w:t>
      </w:r>
      <w:r>
        <w:t xml:space="preserve">and the lowest self-BLEU-</w:t>
      </w:r>
      <m:oMath>
        <m:r>
          <m:t>4</m:t>
        </m:r>
      </m:oMath>
      <w:r>
        <w:t xml:space="preserve"> </w:t>
      </w:r>
      <w:r>
        <w:t xml:space="preserve">among iterated conditions (Table F1), and the Mode Hunter accumulates a persistent banned-phrasings library of</w:t>
      </w:r>
      <w:r>
        <w:t xml:space="preserve"> </w:t>
      </w:r>
      <m:oMath>
        <m:r>
          <m:t>11.6</m:t>
        </m:r>
        <m:r>
          <m:rPr>
            <m:sty m:val="p"/>
          </m:rPr>
          <m:t>±</m:t>
        </m:r>
        <m:r>
          <m:t>0.6</m:t>
        </m:r>
      </m:oMath>
      <w:r>
        <w:t xml:space="preserve"> </w:t>
      </w:r>
      <w:r>
        <w:t xml:space="preserve">entries across three iterations (Appendix B.3) that is unavailable to any single-critic baseline. The post-hoc audit (Section 8) scopes the empirical support to two of the four adversaries (Pack Discriminator and Mode Hunter); Mode-Seeking and Coverage Hole Finder do not measurably differentiate conditions in our experiments.</w:t>
      </w:r>
    </w:p>
    <w:p>
      <w:pPr>
        <w:pStyle w:val="BodyText"/>
        <w:jc w:val="both"/>
        <w:keepNext w:val="0"/>
        <w:keepLines w:val="0"/>
        <w:widowControl w:val="1"/>
      </w:pPr>
      <w:r>
        <w:rPr>
          <w:i/>
          <w:iCs/>
        </w:rPr>
        <w:t xml:space="preserve">Cross-task synth-only headline.</w:t>
      </w:r>
      <w:r>
        <w:t xml:space="preserve"> </w:t>
      </w:r>
      <w:r>
        <w:t xml:space="preserve">The seven-critic loop's synthetic batch alone (without any real seed in the training set) reaches SST-2 macro F1</w:t>
      </w:r>
      <w:r>
        <w:t xml:space="preserve"> </w:t>
      </w:r>
      <m:oMath>
        <m:r>
          <m:t>0.731</m:t>
        </m:r>
        <m:r>
          <m:rPr>
            <m:sty m:val="p"/>
          </m:rPr>
          <m:t>±</m:t>
        </m:r>
        <m:r>
          <m:t>0.029</m:t>
        </m:r>
      </m:oMath>
      <w:r>
        <w:t xml:space="preserve"> </w:t>
      </w:r>
      <w:r>
        <w:t xml:space="preserve">(</w:t>
      </w:r>
      <m:oMath>
        <m:r>
          <m:rPr>
            <m:sty m:val="p"/>
          </m:rPr>
          <m:t>+</m:t>
        </m:r>
        <m:r>
          <m:t>0.027</m:t>
        </m:r>
      </m:oMath>
      <w:r>
        <w:t xml:space="preserve"> </w:t>
      </w:r>
      <w:r>
        <w:t xml:space="preserve">over real-only,</w:t>
      </w:r>
      <w:r>
        <w:t xml:space="preserve"> </w:t>
      </w:r>
      <m:oMath>
        <m:r>
          <m:t>1.7</m:t>
        </m:r>
        <m:r>
          <m:rPr>
            <m:sty m:val="p"/>
          </m:rPr>
          <m:t>×</m:t>
        </m:r>
      </m:oMath>
      <w:r>
        <w:t xml:space="preserve"> </w:t>
      </w:r>
      <w:r>
        <w:t xml:space="preserve">variance reduction), Banking77 macro F1</w:t>
      </w:r>
      <w:r>
        <w:t xml:space="preserve"> </w:t>
      </w:r>
      <m:oMath>
        <m:r>
          <m:t>0.876</m:t>
        </m:r>
        <m:r>
          <m:rPr>
            <m:sty m:val="p"/>
          </m:rPr>
          <m:t>±</m:t>
        </m:r>
        <m:r>
          <m:t>0.012</m:t>
        </m:r>
      </m:oMath>
      <w:r>
        <w:t xml:space="preserve"> </w:t>
      </w:r>
      <w:r>
        <w:t xml:space="preserve">(</w:t>
      </w:r>
      <m:oMath>
        <m:r>
          <m:t>5.8</m:t>
        </m:r>
        <m:r>
          <m:rPr>
            <m:sty m:val="p"/>
          </m:rPr>
          <m:t>×</m:t>
        </m:r>
      </m:oMath>
      <w:r>
        <w:t xml:space="preserve"> </w:t>
      </w:r>
      <w:r>
        <w:t xml:space="preserve">variance reduction, residual gap</w:t>
      </w:r>
      <w:r>
        <w:t xml:space="preserve"> </w:t>
      </w:r>
      <m:oMath>
        <m:r>
          <m:rPr>
            <m:sty m:val="p"/>
          </m:rPr>
          <m:t>−</m:t>
        </m:r>
        <m:r>
          <m:t>0.074</m:t>
        </m:r>
      </m:oMath>
      <w:r>
        <w:t xml:space="preserve"> </w:t>
      </w:r>
      <w:r>
        <w:t xml:space="preserve">to real-only</w:t>
      </w:r>
      <w:r>
        <w:t xml:space="preserve"> </w:t>
      </w:r>
      <m:oMath>
        <m:r>
          <m:t>0.950</m:t>
        </m:r>
      </m:oMath>
      <w:r>
        <w:t xml:space="preserve">), and TREC macro F1</w:t>
      </w:r>
      <w:r>
        <w:t xml:space="preserve"> </w:t>
      </w:r>
      <m:oMath>
        <m:r>
          <m:t>0.609</m:t>
        </m:r>
        <m:r>
          <m:rPr>
            <m:sty m:val="p"/>
          </m:rPr>
          <m:t>±</m:t>
        </m:r>
        <m:r>
          <m:t>0.056</m:t>
        </m:r>
      </m:oMath>
      <w:r>
        <w:t xml:space="preserve"> </w:t>
      </w:r>
      <w:r>
        <w:t xml:space="preserve">(tied with real-only</w:t>
      </w:r>
      <w:r>
        <w:t xml:space="preserve"> </w:t>
      </w:r>
      <m:oMath>
        <m:r>
          <m:t>0.607</m:t>
        </m:r>
      </m:oMath>
      <w:r>
        <w:t xml:space="preserve">), across five seeds per benchmark on the full canonical held-out test splits. The synthetic batch is at-or-above the real-only baseline on SST-2 and TREC and closes most of the gap on Banking77, with substantial seed-variance reduction (Section 7.5).</w:t>
      </w:r>
    </w:p>
    <w:p>
      <w:pPr>
        <w:pStyle w:val="BodyText"/>
        <w:jc w:val="both"/>
        <w:keepNext w:val="0"/>
        <w:keepLines w:val="0"/>
        <w:widowControl w:val="1"/>
      </w:pPr>
      <w:r>
        <w:rPr>
          <w:i/>
          <w:iCs/>
        </w:rPr>
        <w:t xml:space="preserve">Implications for practitioners.</w:t>
      </w:r>
      <w:r>
        <w:t xml:space="preserve"> </w:t>
      </w:r>
      <w:r>
        <w:t xml:space="preserve">The value of a multi-critic prompt-debugging loop is best surfaced via cross-condition classifier ensembling: multiple iterated conditions produce synthetic batches whose downstream classifiers learn orthogonal decision boundaries, and combining two such classifiers via logit averaging stabilizes the downstream classifier across seeds (</w:t>
      </w:r>
      <m:oMath>
        <m:r>
          <m:t>1.65</m:t>
        </m:r>
        <m:r>
          <m:rPr>
            <m:sty m:val="p"/>
          </m:rPr>
          <m:t>×</m:t>
        </m:r>
      </m:oMath>
      <w:r>
        <w:t xml:space="preserve"> </w:t>
      </w:r>
      <w:r>
        <w:t xml:space="preserve">variance reduction in macro F1,</w:t>
      </w:r>
      <w:r>
        <w:t xml:space="preserve"> </w:t>
      </w:r>
      <m:oMath>
        <m:r>
          <m:t>1.74</m:t>
        </m:r>
        <m:r>
          <m:rPr>
            <m:sty m:val="p"/>
          </m:rPr>
          <m:t>×</m:t>
        </m:r>
      </m:oMath>
      <w:r>
        <w:t xml:space="preserve"> </w:t>
      </w:r>
      <w:r>
        <w:t xml:space="preserve">in worst-class F1) at no additional generation cost. We recommend reporting the best-pair ensemble alongside the best single condition as a standard protocol for synthetic-data ablations.</w:t>
      </w:r>
      <w:r>
        <w:t xml:space="preserve"> </w:t>
      </w:r>
      <w:r>
        <w:rPr>
          <w:i/>
          <w:iCs/>
        </w:rPr>
        <w:t xml:space="preserve">Implications for method designers.</w:t>
      </w:r>
      <w:r>
        <w:t xml:space="preserve"> </w:t>
      </w:r>
      <w:r>
        <w:t xml:space="preserve">The Vendi score on the sentence-transformer Gram matrix differentiates iterated from non-iterated synthetic data by a</w:t>
      </w:r>
      <w:r>
        <w:t xml:space="preserve"> </w:t>
      </w:r>
      <m:oMath>
        <m:r>
          <m:t>2</m:t>
        </m:r>
        <m:r>
          <m:rPr>
            <m:sty m:val="p"/>
          </m:rPr>
          <m:t>×</m:t>
        </m:r>
      </m:oMath>
      <w:r>
        <w:t xml:space="preserve"> </w:t>
      </w:r>
      <w:r>
        <w:t xml:space="preserve">margin where the macro F1 saturates, and the post-hoc adversary audit attributes observed differences to the data itself rather than to whichever critic was enabled in a given condition.</w:t>
      </w:r>
    </w:p>
    <w:p>
      <w:pPr>
        <w:pStyle w:val="BodyText"/>
        <w:jc w:val="both"/>
        <w:keepNext w:val="0"/>
        <w:keepLines w:val="0"/>
        <w:widowControl w:val="1"/>
      </w:pPr>
      <w:r>
        <w:t xml:space="preserve">A reference implementation, the configuration files used for every reported run, and the per-iteration artefacts (prompts, generated batches, critic verdicts) are available at</w:t>
      </w:r>
      <w:r>
        <w:t xml:space="preserve"> </w:t>
      </w:r>
      <w:hyperlink r:id="rId10">
        <w:r>
          <w:rPr>
            <w:rStyle w:val="Hyperlink"/>
          </w:rPr>
          <w:t xml:space="preserve">github.com/ApartsinProjects/SynSmith</w:t>
        </w:r>
      </w:hyperlink>
      <w:r>
        <w:t xml:space="preserve"> </w:t>
      </w:r>
      <w:r>
        <w:t xml:space="preserve">under an MIT license. Framework reference material is in Appendix C.</w:t>
      </w:r>
    </w:p>
    <w:bookmarkEnd w:id="60"/>
    <w:bookmarkStart w:id="169" w:name="sec-references"/>
    <w:p>
      <w:pPr>
        <w:pStyle w:val="Heading2"/>
        <w:keepNext/>
        <w:keepLines/>
        <w:widowControl w:val="1"/>
      </w:pPr>
      <w:r>
        <w:t xml:space="preserve">12</w:t>
      </w:r>
      <w:r>
        <w:t xml:space="preserve"> </w:t>
      </w:r>
      <w:r>
        <w:t xml:space="preserve">References</w:t>
      </w:r>
    </w:p>
    <w:p>
      <w:pPr>
        <w:pStyle w:val="Compact"/>
        <w:numPr>
          <w:ilvl w:val="0"/>
          <w:numId w:val="1003"/>
        </w:numPr>
        <w:ind w:left="360" w:hanging="259"/>
        <w:jc w:val="both"/>
        <w:keepNext w:val="0"/>
        <w:keepLines w:val="0"/>
        <w:widowControl w:val="1"/>
      </w:pPr>
      <w:bookmarkStart w:id="62" w:name="ref-pacgan"/>
      <w:r>
        <w:t xml:space="preserve">Lin, Z., Khetan, A., Fanti, G., &amp; Oh, S.</w:t>
      </w:r>
      <w:r>
        <w:t xml:space="preserve"> </w:t>
      </w:r>
      <w:r>
        <w:rPr>
          <w:i/>
          <w:iCs/>
        </w:rPr>
        <w:t xml:space="preserve">PacGAN: The power of two samples in generative adversarial networks.</w:t>
      </w:r>
      <w:r>
        <w:t xml:space="preserve"> </w:t>
      </w:r>
      <w:r>
        <w:t xml:space="preserve">NeurIPS, 2018.</w:t>
      </w:r>
      <w:r>
        <w:t xml:space="preserve"> </w:t>
      </w:r>
      <w:hyperlink r:id="rId61">
        <w:r>
          <w:rPr>
            <w:rStyle w:val="Hyperlink"/>
          </w:rPr>
          <w:t xml:space="preserve">[NeurIPS]</w:t>
        </w:r>
      </w:hyperlink>
      <w:bookmarkEnd w:id="62"/>
    </w:p>
    <w:p>
      <w:pPr>
        <w:pStyle w:val="Compact"/>
        <w:numPr>
          <w:ilvl w:val="0"/>
          <w:numId w:val="1003"/>
        </w:numPr>
        <w:ind w:left="360" w:hanging="259"/>
        <w:jc w:val="both"/>
        <w:keepNext w:val="0"/>
        <w:keepLines w:val="0"/>
        <w:widowControl w:val="1"/>
      </w:pPr>
      <w:bookmarkStart w:id="64" w:name="ref-salimans"/>
      <w:r>
        <w:t xml:space="preserve">Salimans, T., Goodfellow, I., Zaremba, W., Cheung, V., Radford, A., &amp; Chen, X.</w:t>
      </w:r>
      <w:r>
        <w:t xml:space="preserve"> </w:t>
      </w:r>
      <w:r>
        <w:rPr>
          <w:i/>
          <w:iCs/>
        </w:rPr>
        <w:t xml:space="preserve">Improved techniques for training GANs.</w:t>
      </w:r>
      <w:r>
        <w:t xml:space="preserve"> </w:t>
      </w:r>
      <w:r>
        <w:t xml:space="preserve">NeurIPS, 2016.</w:t>
      </w:r>
      <w:r>
        <w:t xml:space="preserve"> </w:t>
      </w:r>
      <w:hyperlink r:id="rId63">
        <w:r>
          <w:rPr>
            <w:rStyle w:val="Hyperlink"/>
          </w:rPr>
          <w:t xml:space="preserve">[arXiv:1606.03498]</w:t>
        </w:r>
      </w:hyperlink>
      <w:bookmarkEnd w:id="64"/>
    </w:p>
    <w:p>
      <w:pPr>
        <w:pStyle w:val="Compact"/>
        <w:numPr>
          <w:ilvl w:val="0"/>
          <w:numId w:val="1003"/>
        </w:numPr>
        <w:ind w:left="360" w:hanging="259"/>
        <w:jc w:val="both"/>
        <w:keepNext w:val="0"/>
        <w:keepLines w:val="0"/>
        <w:widowControl w:val="1"/>
      </w:pPr>
      <w:bookmarkStart w:id="66" w:name="ref-msgan"/>
      <w:r>
        <w:t xml:space="preserve">Mao, Q., Lee, H.-Y., Tseng, H.-Y., Ma, S., &amp; Yang, M.-H.</w:t>
      </w:r>
      <w:r>
        <w:t xml:space="preserve"> </w:t>
      </w:r>
      <w:r>
        <w:rPr>
          <w:i/>
          <w:iCs/>
        </w:rPr>
        <w:t xml:space="preserve">Mode seeking generative adversarial networks for diverse image synthesis.</w:t>
      </w:r>
      <w:r>
        <w:t xml:space="preserve"> </w:t>
      </w:r>
      <w:r>
        <w:t xml:space="preserve">CVPR, 2019.</w:t>
      </w:r>
      <w:r>
        <w:t xml:space="preserve"> </w:t>
      </w:r>
      <w:hyperlink r:id="rId65">
        <w:r>
          <w:rPr>
            <w:rStyle w:val="Hyperlink"/>
          </w:rPr>
          <w:t xml:space="preserve">[CVF]</w:t>
        </w:r>
      </w:hyperlink>
      <w:bookmarkEnd w:id="66"/>
    </w:p>
    <w:p>
      <w:pPr>
        <w:pStyle w:val="Compact"/>
        <w:numPr>
          <w:ilvl w:val="0"/>
          <w:numId w:val="1003"/>
        </w:numPr>
        <w:ind w:left="360" w:hanging="259"/>
        <w:jc w:val="both"/>
        <w:keepNext w:val="0"/>
        <w:keepLines w:val="0"/>
        <w:widowControl w:val="1"/>
      </w:pPr>
      <w:bookmarkStart w:id="68" w:name="ref-honovich"/>
      <w:r>
        <w:t xml:space="preserve">Honovich, O., Scialom, T., Levy, O., &amp; Schick, T.</w:t>
      </w:r>
      <w:r>
        <w:t xml:space="preserve"> </w:t>
      </w:r>
      <w:r>
        <w:rPr>
          <w:i/>
          <w:iCs/>
        </w:rPr>
        <w:t xml:space="preserve">Unnatural instructions: Tuning language models with (almost) no human labor.</w:t>
      </w:r>
      <w:r>
        <w:t xml:space="preserve"> </w:t>
      </w:r>
      <w:r>
        <w:t xml:space="preserve">ACL, 2023.</w:t>
      </w:r>
      <w:r>
        <w:t xml:space="preserve"> </w:t>
      </w:r>
      <w:hyperlink r:id="rId67">
        <w:r>
          <w:rPr>
            <w:rStyle w:val="Hyperlink"/>
          </w:rPr>
          <w:t xml:space="preserve">[ACL Anthology]</w:t>
        </w:r>
      </w:hyperlink>
      <w:bookmarkEnd w:id="68"/>
    </w:p>
    <w:p>
      <w:pPr>
        <w:pStyle w:val="Compact"/>
        <w:numPr>
          <w:ilvl w:val="0"/>
          <w:numId w:val="1003"/>
        </w:numPr>
        <w:ind w:left="360" w:hanging="259"/>
        <w:jc w:val="both"/>
        <w:keepNext w:val="0"/>
        <w:keepLines w:val="0"/>
        <w:widowControl w:val="1"/>
      </w:pPr>
      <w:bookmarkStart w:id="70" w:name="ref-self-instruct"/>
      <w:r>
        <w:t xml:space="preserve">Wang, Y., Kordi, Y., Mishra, S., Liu, A., Smith, N. A., Khashabi, D., &amp; Hajishirzi, H.</w:t>
      </w:r>
      <w:r>
        <w:t xml:space="preserve"> </w:t>
      </w:r>
      <w:r>
        <w:rPr>
          <w:i/>
          <w:iCs/>
        </w:rPr>
        <w:t xml:space="preserve">Self-Instruct: Aligning language models with self-generated instructions.</w:t>
      </w:r>
      <w:r>
        <w:t xml:space="preserve"> </w:t>
      </w:r>
      <w:r>
        <w:t xml:space="preserve">ACL, 2023.</w:t>
      </w:r>
      <w:r>
        <w:t xml:space="preserve"> </w:t>
      </w:r>
      <w:hyperlink r:id="rId69">
        <w:r>
          <w:rPr>
            <w:rStyle w:val="Hyperlink"/>
          </w:rPr>
          <w:t xml:space="preserve">[ACL Anthology]</w:t>
        </w:r>
      </w:hyperlink>
      <w:bookmarkEnd w:id="70"/>
    </w:p>
    <w:p>
      <w:pPr>
        <w:pStyle w:val="Compact"/>
        <w:numPr>
          <w:ilvl w:val="0"/>
          <w:numId w:val="1003"/>
        </w:numPr>
        <w:ind w:left="360" w:hanging="259"/>
        <w:jc w:val="both"/>
        <w:keepNext w:val="0"/>
        <w:keepLines w:val="0"/>
        <w:widowControl w:val="1"/>
      </w:pPr>
      <w:bookmarkStart w:id="72" w:name="ref-judge"/>
      <w:r>
        <w:t xml:space="preserve">Zheng, L., Chiang, W.-L., Sheng, Y., Zhuang, S., Wu, Z., Zhuang, Y., et al.</w:t>
      </w:r>
      <w:r>
        <w:t xml:space="preserve"> </w:t>
      </w:r>
      <w:r>
        <w:rPr>
          <w:i/>
          <w:iCs/>
        </w:rPr>
        <w:t xml:space="preserve">Judging LLM-as-a-Judge with MT-Bench and Chatbot Arena.</w:t>
      </w:r>
      <w:r>
        <w:t xml:space="preserve"> </w:t>
      </w:r>
      <w:r>
        <w:t xml:space="preserve">NeurIPS, 2023.</w:t>
      </w:r>
      <w:r>
        <w:t xml:space="preserve"> </w:t>
      </w:r>
      <w:hyperlink r:id="rId71">
        <w:r>
          <w:rPr>
            <w:rStyle w:val="Hyperlink"/>
          </w:rPr>
          <w:t xml:space="preserve">[OpenReview]</w:t>
        </w:r>
      </w:hyperlink>
      <w:bookmarkEnd w:id="72"/>
    </w:p>
    <w:p>
      <w:pPr>
        <w:pStyle w:val="Compact"/>
        <w:numPr>
          <w:ilvl w:val="0"/>
          <w:numId w:val="1003"/>
        </w:numPr>
        <w:ind w:left="360" w:hanging="259"/>
        <w:jc w:val="both"/>
        <w:keepNext w:val="0"/>
        <w:keepLines w:val="0"/>
        <w:widowControl w:val="1"/>
      </w:pPr>
      <w:bookmarkStart w:id="74" w:name="ref-unrolled"/>
      <w:r>
        <w:t xml:space="preserve">Metz, L., Poole, B., Pfau, D., &amp; Sohl-Dickstein, J.</w:t>
      </w:r>
      <w:r>
        <w:t xml:space="preserve"> </w:t>
      </w:r>
      <w:r>
        <w:rPr>
          <w:i/>
          <w:iCs/>
        </w:rPr>
        <w:t xml:space="preserve">Unrolled generative adversarial networks.</w:t>
      </w:r>
      <w:r>
        <w:t xml:space="preserve"> </w:t>
      </w:r>
      <w:r>
        <w:t xml:space="preserve">ICLR, 2017.</w:t>
      </w:r>
      <w:r>
        <w:t xml:space="preserve"> </w:t>
      </w:r>
      <w:hyperlink r:id="rId73">
        <w:r>
          <w:rPr>
            <w:rStyle w:val="Hyperlink"/>
          </w:rPr>
          <w:t xml:space="preserve">[arXiv:1611.02163]</w:t>
        </w:r>
      </w:hyperlink>
      <w:bookmarkEnd w:id="74"/>
    </w:p>
    <w:p>
      <w:pPr>
        <w:pStyle w:val="Compact"/>
        <w:numPr>
          <w:ilvl w:val="0"/>
          <w:numId w:val="1003"/>
        </w:numPr>
        <w:ind w:left="360" w:hanging="259"/>
        <w:jc w:val="both"/>
        <w:keepNext w:val="0"/>
        <w:keepLines w:val="0"/>
        <w:widowControl w:val="1"/>
      </w:pPr>
      <w:bookmarkStart w:id="76" w:name="ref-wgan"/>
      <w:r>
        <w:t xml:space="preserve">Arjovsky, M., Chintala, S., &amp; Bottou, L.</w:t>
      </w:r>
      <w:r>
        <w:t xml:space="preserve"> </w:t>
      </w:r>
      <w:r>
        <w:rPr>
          <w:i/>
          <w:iCs/>
        </w:rPr>
        <w:t xml:space="preserve">Wasserstein generative adversarial networks.</w:t>
      </w:r>
      <w:r>
        <w:t xml:space="preserve"> </w:t>
      </w:r>
      <w:r>
        <w:t xml:space="preserve">ICML, 2017.</w:t>
      </w:r>
      <w:r>
        <w:t xml:space="preserve"> </w:t>
      </w:r>
      <w:hyperlink r:id="rId75">
        <w:r>
          <w:rPr>
            <w:rStyle w:val="Hyperlink"/>
          </w:rPr>
          <w:t xml:space="preserve">[PMLR]</w:t>
        </w:r>
      </w:hyperlink>
      <w:bookmarkEnd w:id="76"/>
    </w:p>
    <w:p>
      <w:pPr>
        <w:pStyle w:val="Compact"/>
        <w:numPr>
          <w:ilvl w:val="0"/>
          <w:numId w:val="1003"/>
        </w:numPr>
        <w:ind w:left="360" w:hanging="259"/>
        <w:jc w:val="both"/>
        <w:keepNext w:val="0"/>
        <w:keepLines w:val="0"/>
        <w:widowControl w:val="1"/>
      </w:pPr>
      <w:bookmarkStart w:id="78" w:name="ref-densityratio"/>
      <w:r>
        <w:t xml:space="preserve">Sugiyama, M., Suzuki, T., &amp; Kanamori, T.</w:t>
      </w:r>
      <w:r>
        <w:t xml:space="preserve"> </w:t>
      </w:r>
      <w:r>
        <w:rPr>
          <w:i/>
          <w:iCs/>
        </w:rPr>
        <w:t xml:space="preserve">Density Ratio Estimation in Machine Learning.</w:t>
      </w:r>
      <w:r>
        <w:t xml:space="preserve"> </w:t>
      </w:r>
      <w:r>
        <w:t xml:space="preserve">Cambridge University Press, 2012.</w:t>
      </w:r>
      <w:r>
        <w:t xml:space="preserve"> </w:t>
      </w:r>
      <w:hyperlink r:id="rId77">
        <w:r>
          <w:rPr>
            <w:rStyle w:val="Hyperlink"/>
          </w:rPr>
          <w:t xml:space="preserve">[CUP]</w:t>
        </w:r>
      </w:hyperlink>
      <w:bookmarkEnd w:id="78"/>
    </w:p>
    <w:p>
      <w:pPr>
        <w:pStyle w:val="Compact"/>
        <w:numPr>
          <w:ilvl w:val="0"/>
          <w:numId w:val="1003"/>
        </w:numPr>
        <w:ind w:left="360" w:hanging="259"/>
        <w:jc w:val="both"/>
        <w:keepNext w:val="0"/>
        <w:keepLines w:val="0"/>
        <w:widowControl w:val="1"/>
      </w:pPr>
      <w:bookmarkStart w:id="80" w:name="ref-inpars"/>
      <w:r>
        <w:t xml:space="preserve">Bonifacio, L., Abonizio, H., Fadaee, M., &amp; Nogueira, R.</w:t>
      </w:r>
      <w:r>
        <w:t xml:space="preserve"> </w:t>
      </w:r>
      <w:r>
        <w:rPr>
          <w:i/>
          <w:iCs/>
        </w:rPr>
        <w:t xml:space="preserve">InPars: Unsupervised dataset generation for information retrieval.</w:t>
      </w:r>
      <w:r>
        <w:t xml:space="preserve"> </w:t>
      </w:r>
      <w:r>
        <w:t xml:space="preserve">SIGIR, 2022.</w:t>
      </w:r>
      <w:r>
        <w:t xml:space="preserve"> </w:t>
      </w:r>
      <w:hyperlink r:id="rId79">
        <w:r>
          <w:rPr>
            <w:rStyle w:val="Hyperlink"/>
          </w:rPr>
          <w:t xml:space="preserve">[ACM]</w:t>
        </w:r>
      </w:hyperlink>
      <w:bookmarkEnd w:id="80"/>
    </w:p>
    <w:p>
      <w:pPr>
        <w:pStyle w:val="Compact"/>
        <w:numPr>
          <w:ilvl w:val="0"/>
          <w:numId w:val="1003"/>
        </w:numPr>
        <w:ind w:left="360" w:hanging="259"/>
        <w:jc w:val="both"/>
        <w:keepNext w:val="0"/>
        <w:keepLines w:val="0"/>
        <w:widowControl w:val="1"/>
      </w:pPr>
      <w:bookmarkStart w:id="82" w:name="ref-supergen"/>
      <w:r>
        <w:t xml:space="preserve">Meng, Y., Huang, J., Zhang, Y., &amp; Han, J.</w:t>
      </w:r>
      <w:r>
        <w:t xml:space="preserve"> </w:t>
      </w:r>
      <w:r>
        <w:rPr>
          <w:i/>
          <w:iCs/>
        </w:rPr>
        <w:t xml:space="preserve">Generating training data with language models: Towards zero-shot language understanding.</w:t>
      </w:r>
      <w:r>
        <w:t xml:space="preserve"> </w:t>
      </w:r>
      <w:r>
        <w:t xml:space="preserve">NeurIPS, 2022.</w:t>
      </w:r>
      <w:r>
        <w:t xml:space="preserve"> </w:t>
      </w:r>
      <w:hyperlink r:id="rId81">
        <w:r>
          <w:rPr>
            <w:rStyle w:val="Hyperlink"/>
          </w:rPr>
          <w:t xml:space="preserve">[NeurIPS]</w:t>
        </w:r>
      </w:hyperlink>
      <w:bookmarkEnd w:id="82"/>
    </w:p>
    <w:p>
      <w:pPr>
        <w:pStyle w:val="Compact"/>
        <w:numPr>
          <w:ilvl w:val="0"/>
          <w:numId w:val="1003"/>
        </w:numPr>
        <w:ind w:left="360" w:hanging="259"/>
        <w:jc w:val="both"/>
        <w:keepNext w:val="0"/>
        <w:keepLines w:val="0"/>
        <w:widowControl w:val="1"/>
      </w:pPr>
      <w:bookmarkStart w:id="84" w:name="ref-progen"/>
      <w:r>
        <w:t xml:space="preserve">Ye, J., Gao, J., Wu, Z., Feng, J., Yu, T., &amp; Kong, L.</w:t>
      </w:r>
      <w:r>
        <w:t xml:space="preserve"> </w:t>
      </w:r>
      <w:r>
        <w:rPr>
          <w:i/>
          <w:iCs/>
        </w:rPr>
        <w:t xml:space="preserve">ProGen: Progressive zero-shot dataset generation via in-context feedback.</w:t>
      </w:r>
      <w:r>
        <w:t xml:space="preserve"> </w:t>
      </w:r>
      <w:r>
        <w:t xml:space="preserve">Findings of EMNLP, 2022.</w:t>
      </w:r>
      <w:r>
        <w:t xml:space="preserve"> </w:t>
      </w:r>
      <w:hyperlink r:id="rId83">
        <w:r>
          <w:rPr>
            <w:rStyle w:val="Hyperlink"/>
          </w:rPr>
          <w:t xml:space="preserve">[ACL Anthology]</w:t>
        </w:r>
      </w:hyperlink>
      <w:bookmarkEnd w:id="84"/>
    </w:p>
    <w:p>
      <w:pPr>
        <w:pStyle w:val="Compact"/>
        <w:numPr>
          <w:ilvl w:val="0"/>
          <w:numId w:val="1003"/>
        </w:numPr>
        <w:ind w:left="360" w:hanging="259"/>
        <w:jc w:val="both"/>
        <w:keepNext w:val="0"/>
        <w:keepLines w:val="0"/>
        <w:widowControl w:val="1"/>
      </w:pPr>
      <w:bookmarkStart w:id="86" w:name="ref-westsymbolic"/>
      <w:r>
        <w:t xml:space="preserve">West, P., Bhagavatula, C., Hessel, J., Hwang, J. D., Jiang, L., Le Bras, R., et al.</w:t>
      </w:r>
      <w:r>
        <w:t xml:space="preserve"> </w:t>
      </w:r>
      <w:r>
        <w:rPr>
          <w:i/>
          <w:iCs/>
        </w:rPr>
        <w:t xml:space="preserve">Symbolic knowledge distillation: From general language models to commonsense models.</w:t>
      </w:r>
      <w:r>
        <w:t xml:space="preserve"> </w:t>
      </w:r>
      <w:r>
        <w:t xml:space="preserve">NAACL, 2022.</w:t>
      </w:r>
      <w:r>
        <w:t xml:space="preserve"> </w:t>
      </w:r>
      <w:hyperlink r:id="rId85">
        <w:r>
          <w:rPr>
            <w:rStyle w:val="Hyperlink"/>
          </w:rPr>
          <w:t xml:space="preserve">[ACL Anthology]</w:t>
        </w:r>
      </w:hyperlink>
      <w:bookmarkEnd w:id="86"/>
    </w:p>
    <w:p>
      <w:pPr>
        <w:pStyle w:val="Compact"/>
        <w:numPr>
          <w:ilvl w:val="0"/>
          <w:numId w:val="1003"/>
        </w:numPr>
        <w:ind w:left="360" w:hanging="259"/>
        <w:jc w:val="both"/>
        <w:keepNext w:val="0"/>
        <w:keepLines w:val="0"/>
        <w:widowControl w:val="1"/>
      </w:pPr>
      <w:bookmarkStart w:id="88" w:name="ref-ape"/>
      <w:r>
        <w:t xml:space="preserve">Zhou, Y., Muresanu, A. I., Han, Z., Paster, K., Pitis, S., Chan, H., &amp; Ba, J.</w:t>
      </w:r>
      <w:r>
        <w:t xml:space="preserve"> </w:t>
      </w:r>
      <w:r>
        <w:rPr>
          <w:i/>
          <w:iCs/>
        </w:rPr>
        <w:t xml:space="preserve">Large language models are human-level prompt engineers.</w:t>
      </w:r>
      <w:r>
        <w:t xml:space="preserve"> </w:t>
      </w:r>
      <w:r>
        <w:t xml:space="preserve">ICLR, 2023.</w:t>
      </w:r>
      <w:r>
        <w:t xml:space="preserve"> </w:t>
      </w:r>
      <w:hyperlink r:id="rId87">
        <w:r>
          <w:rPr>
            <w:rStyle w:val="Hyperlink"/>
          </w:rPr>
          <w:t xml:space="preserve">[arXiv:2211.01910]</w:t>
        </w:r>
      </w:hyperlink>
      <w:bookmarkEnd w:id="88"/>
    </w:p>
    <w:p>
      <w:pPr>
        <w:pStyle w:val="Compact"/>
        <w:numPr>
          <w:ilvl w:val="0"/>
          <w:numId w:val="1003"/>
        </w:numPr>
        <w:ind w:left="360" w:hanging="259"/>
        <w:jc w:val="both"/>
        <w:keepNext w:val="0"/>
        <w:keepLines w:val="0"/>
        <w:widowControl w:val="1"/>
      </w:pPr>
      <w:bookmarkStart w:id="90" w:name="ref-opro"/>
      <w:r>
        <w:t xml:space="preserve">Yang, C., Wang, X., Lu, Y., Liu, H., Le, Q. V., Zhou, D., &amp; Chen, X.</w:t>
      </w:r>
      <w:r>
        <w:t xml:space="preserve"> </w:t>
      </w:r>
      <w:r>
        <w:rPr>
          <w:i/>
          <w:iCs/>
        </w:rPr>
        <w:t xml:space="preserve">Large language models as optimizers.</w:t>
      </w:r>
      <w:r>
        <w:t xml:space="preserve"> </w:t>
      </w:r>
      <w:r>
        <w:t xml:space="preserve">ICLR, 2024.</w:t>
      </w:r>
      <w:r>
        <w:t xml:space="preserve"> </w:t>
      </w:r>
      <w:hyperlink r:id="rId89">
        <w:r>
          <w:rPr>
            <w:rStyle w:val="Hyperlink"/>
          </w:rPr>
          <w:t xml:space="preserve">[OpenReview]</w:t>
        </w:r>
      </w:hyperlink>
      <w:bookmarkEnd w:id="90"/>
    </w:p>
    <w:p>
      <w:pPr>
        <w:pStyle w:val="Compact"/>
        <w:numPr>
          <w:ilvl w:val="0"/>
          <w:numId w:val="1003"/>
        </w:numPr>
        <w:ind w:left="360" w:hanging="259"/>
        <w:jc w:val="both"/>
        <w:keepNext w:val="0"/>
        <w:keepLines w:val="0"/>
        <w:widowControl w:val="1"/>
      </w:pPr>
      <w:bookmarkStart w:id="92" w:name="ref-evoprompt"/>
      <w:r>
        <w:t xml:space="preserve">Guo, Q., Wang, R., Guo, J., Li, B., Song, K., Tan, X., et al.</w:t>
      </w:r>
      <w:r>
        <w:t xml:space="preserve"> </w:t>
      </w:r>
      <w:r>
        <w:rPr>
          <w:i/>
          <w:iCs/>
        </w:rPr>
        <w:t xml:space="preserve">Connecting large language models with evolutionary algorithms yields powerful prompt optimizers.</w:t>
      </w:r>
      <w:r>
        <w:t xml:space="preserve"> </w:t>
      </w:r>
      <w:r>
        <w:t xml:space="preserve">ICLR, 2024.</w:t>
      </w:r>
      <w:r>
        <w:t xml:space="preserve"> </w:t>
      </w:r>
      <w:hyperlink r:id="rId91">
        <w:r>
          <w:rPr>
            <w:rStyle w:val="Hyperlink"/>
          </w:rPr>
          <w:t xml:space="preserve">[OpenReview]</w:t>
        </w:r>
      </w:hyperlink>
      <w:bookmarkEnd w:id="92"/>
    </w:p>
    <w:p>
      <w:pPr>
        <w:pStyle w:val="Compact"/>
        <w:numPr>
          <w:ilvl w:val="0"/>
          <w:numId w:val="1003"/>
        </w:numPr>
        <w:ind w:left="360" w:hanging="259"/>
        <w:jc w:val="both"/>
        <w:keepNext w:val="0"/>
        <w:keepLines w:val="0"/>
        <w:widowControl w:val="1"/>
      </w:pPr>
      <w:bookmarkStart w:id="94" w:name="ref-promptbreeder"/>
      <w:r>
        <w:t xml:space="preserve">Fernando, C., Banarse, D., Michalewski, H., Osindero, S., &amp; Rocktäschel, T.</w:t>
      </w:r>
      <w:r>
        <w:t xml:space="preserve"> </w:t>
      </w:r>
      <w:r>
        <w:rPr>
          <w:i/>
          <w:iCs/>
        </w:rPr>
        <w:t xml:space="preserve">Promptbreeder: Self-referential self-improvement via prompt evolution.</w:t>
      </w:r>
      <w:r>
        <w:t xml:space="preserve"> </w:t>
      </w:r>
      <w:r>
        <w:t xml:space="preserve">arXiv:2309.16797, 2023.</w:t>
      </w:r>
      <w:r>
        <w:t xml:space="preserve"> </w:t>
      </w:r>
      <w:hyperlink r:id="rId93">
        <w:r>
          <w:rPr>
            <w:rStyle w:val="Hyperlink"/>
          </w:rPr>
          <w:t xml:space="preserve">[arXiv]</w:t>
        </w:r>
      </w:hyperlink>
      <w:bookmarkEnd w:id="94"/>
    </w:p>
    <w:p>
      <w:pPr>
        <w:pStyle w:val="Compact"/>
        <w:numPr>
          <w:ilvl w:val="0"/>
          <w:numId w:val="1003"/>
        </w:numPr>
        <w:ind w:left="360" w:hanging="259"/>
        <w:jc w:val="both"/>
        <w:keepNext w:val="0"/>
        <w:keepLines w:val="0"/>
        <w:widowControl w:val="1"/>
      </w:pPr>
      <w:bookmarkStart w:id="96" w:name="ref-dspy"/>
      <w:r>
        <w:t xml:space="preserve">Khattab, O., Singhvi, A., Maheshwari, P., Zhang, Z., Santhanam, K., Vardhamanan, S., et al.</w:t>
      </w:r>
      <w:r>
        <w:t xml:space="preserve"> </w:t>
      </w:r>
      <w:r>
        <w:rPr>
          <w:i/>
          <w:iCs/>
        </w:rPr>
        <w:t xml:space="preserve">DSPy: Compiling declarative language model calls into self-improving pipelines.</w:t>
      </w:r>
      <w:r>
        <w:t xml:space="preserve"> </w:t>
      </w:r>
      <w:r>
        <w:t xml:space="preserve">ICLR, 2024.</w:t>
      </w:r>
      <w:r>
        <w:t xml:space="preserve"> </w:t>
      </w:r>
      <w:hyperlink r:id="rId95">
        <w:r>
          <w:rPr>
            <w:rStyle w:val="Hyperlink"/>
          </w:rPr>
          <w:t xml:space="preserve">[OpenReview]</w:t>
        </w:r>
      </w:hyperlink>
      <w:bookmarkEnd w:id="96"/>
    </w:p>
    <w:p>
      <w:pPr>
        <w:pStyle w:val="Compact"/>
        <w:numPr>
          <w:ilvl w:val="0"/>
          <w:numId w:val="1003"/>
        </w:numPr>
        <w:ind w:left="360" w:hanging="259"/>
        <w:jc w:val="both"/>
        <w:keepNext w:val="0"/>
        <w:keepLines w:val="0"/>
        <w:widowControl w:val="1"/>
      </w:pPr>
      <w:bookmarkStart w:id="98" w:name="ref-textgrad"/>
      <w:r>
        <w:t xml:space="preserve">Yuksekgonul, M., Bianchi, F., Boen, J., Liu, S., Lu, P., Huang, Z., Guestrin, C., &amp; Zou, J.</w:t>
      </w:r>
      <w:r>
        <w:t xml:space="preserve"> </w:t>
      </w:r>
      <w:r>
        <w:rPr>
          <w:i/>
          <w:iCs/>
        </w:rPr>
        <w:t xml:space="preserve">TextGrad: Automatic "differentiation" via text.</w:t>
      </w:r>
      <w:r>
        <w:t xml:space="preserve"> </w:t>
      </w:r>
      <w:r>
        <w:t xml:space="preserve">arXiv:2406.07496, 2024.</w:t>
      </w:r>
      <w:r>
        <w:t xml:space="preserve"> </w:t>
      </w:r>
      <w:hyperlink r:id="rId97">
        <w:r>
          <w:rPr>
            <w:rStyle w:val="Hyperlink"/>
          </w:rPr>
          <w:t xml:space="preserve">[arXiv]</w:t>
        </w:r>
      </w:hyperlink>
      <w:bookmarkEnd w:id="98"/>
    </w:p>
    <w:p>
      <w:pPr>
        <w:pStyle w:val="Compact"/>
        <w:numPr>
          <w:ilvl w:val="0"/>
          <w:numId w:val="1003"/>
        </w:numPr>
        <w:ind w:left="360" w:hanging="259"/>
        <w:jc w:val="both"/>
        <w:keepNext w:val="0"/>
        <w:keepLines w:val="0"/>
        <w:widowControl w:val="1"/>
      </w:pPr>
      <w:bookmarkStart w:id="100" w:name="ref-geval"/>
      <w:r>
        <w:t xml:space="preserve">Liu, Y., Iter, D., Xu, Y., Wang, S., Xu, R., &amp; Zhu, C.</w:t>
      </w:r>
      <w:r>
        <w:t xml:space="preserve"> </w:t>
      </w:r>
      <w:r>
        <w:rPr>
          <w:i/>
          <w:iCs/>
        </w:rPr>
        <w:t xml:space="preserve">G-Eval: NLG evaluation using GPT-4 with better human alignment.</w:t>
      </w:r>
      <w:r>
        <w:t xml:space="preserve"> </w:t>
      </w:r>
      <w:r>
        <w:t xml:space="preserve">EMNLP, 2023.</w:t>
      </w:r>
      <w:r>
        <w:t xml:space="preserve"> </w:t>
      </w:r>
      <w:hyperlink r:id="rId99">
        <w:r>
          <w:rPr>
            <w:rStyle w:val="Hyperlink"/>
          </w:rPr>
          <w:t xml:space="preserve">[ACL Anthology]</w:t>
        </w:r>
      </w:hyperlink>
      <w:bookmarkEnd w:id="100"/>
    </w:p>
    <w:p>
      <w:pPr>
        <w:pStyle w:val="Compact"/>
        <w:numPr>
          <w:ilvl w:val="0"/>
          <w:numId w:val="1003"/>
        </w:numPr>
        <w:ind w:left="360" w:hanging="259"/>
        <w:jc w:val="both"/>
        <w:keepNext w:val="0"/>
        <w:keepLines w:val="0"/>
        <w:widowControl w:val="1"/>
      </w:pPr>
      <w:bookmarkStart w:id="102" w:name="ref-selfconsistency"/>
      <w:r>
        <w:t xml:space="preserve">Wang, X., Wei, J., Schuurmans, D., Le, Q., Chi, E., Narang, S., Chowdhery, A., &amp; Zhou, D.</w:t>
      </w:r>
      <w:r>
        <w:t xml:space="preserve"> </w:t>
      </w:r>
      <w:r>
        <w:rPr>
          <w:i/>
          <w:iCs/>
        </w:rPr>
        <w:t xml:space="preserve">Self-consistency improves chain of thought reasoning in language models.</w:t>
      </w:r>
      <w:r>
        <w:t xml:space="preserve"> </w:t>
      </w:r>
      <w:r>
        <w:t xml:space="preserve">ICLR, 2023.</w:t>
      </w:r>
      <w:r>
        <w:t xml:space="preserve"> </w:t>
      </w:r>
      <w:hyperlink r:id="rId101">
        <w:r>
          <w:rPr>
            <w:rStyle w:val="Hyperlink"/>
          </w:rPr>
          <w:t xml:space="preserve">[OpenReview]</w:t>
        </w:r>
      </w:hyperlink>
      <w:bookmarkEnd w:id="102"/>
    </w:p>
    <w:p>
      <w:pPr>
        <w:pStyle w:val="Compact"/>
        <w:numPr>
          <w:ilvl w:val="0"/>
          <w:numId w:val="1003"/>
        </w:numPr>
        <w:ind w:left="360" w:hanging="259"/>
        <w:jc w:val="both"/>
        <w:keepNext w:val="0"/>
        <w:keepLines w:val="0"/>
        <w:widowControl w:val="1"/>
      </w:pPr>
      <w:bookmarkStart w:id="104" w:name="ref-fid"/>
      <w:r>
        <w:t xml:space="preserve">Heusel, M., Ramsauer, H., Unterthiner, T., Nessler, B., &amp; Hochreiter, S.</w:t>
      </w:r>
      <w:r>
        <w:t xml:space="preserve"> </w:t>
      </w:r>
      <w:r>
        <w:rPr>
          <w:i/>
          <w:iCs/>
        </w:rPr>
        <w:t xml:space="preserve">GANs trained by a two time-scale update rule converge to a local Nash equilibrium.</w:t>
      </w:r>
      <w:r>
        <w:t xml:space="preserve"> </w:t>
      </w:r>
      <w:r>
        <w:t xml:space="preserve">NeurIPS, 2017.</w:t>
      </w:r>
      <w:r>
        <w:t xml:space="preserve"> </w:t>
      </w:r>
      <w:hyperlink r:id="rId103">
        <w:r>
          <w:rPr>
            <w:rStyle w:val="Hyperlink"/>
          </w:rPr>
          <w:t xml:space="preserve">[NeurIPS]</w:t>
        </w:r>
      </w:hyperlink>
      <w:bookmarkEnd w:id="104"/>
    </w:p>
    <w:p>
      <w:pPr>
        <w:pStyle w:val="Compact"/>
        <w:numPr>
          <w:ilvl w:val="0"/>
          <w:numId w:val="1003"/>
        </w:numPr>
        <w:ind w:left="360" w:hanging="259"/>
        <w:jc w:val="both"/>
        <w:keepNext w:val="0"/>
        <w:keepLines w:val="0"/>
        <w:widowControl w:val="1"/>
      </w:pPr>
      <w:bookmarkStart w:id="106" w:name="ref-sajjadi"/>
      <w:r>
        <w:t xml:space="preserve">Sajjadi, M. S. M., Bachem, O., Lucic, M., Bousquet, O., &amp; Gelly, S.</w:t>
      </w:r>
      <w:r>
        <w:t xml:space="preserve"> </w:t>
      </w:r>
      <w:r>
        <w:rPr>
          <w:i/>
          <w:iCs/>
        </w:rPr>
        <w:t xml:space="preserve">Assessing generative models via precision and recall.</w:t>
      </w:r>
      <w:r>
        <w:t xml:space="preserve"> </w:t>
      </w:r>
      <w:r>
        <w:t xml:space="preserve">NeurIPS, 2018.</w:t>
      </w:r>
      <w:r>
        <w:t xml:space="preserve"> </w:t>
      </w:r>
      <w:hyperlink r:id="rId105">
        <w:r>
          <w:rPr>
            <w:rStyle w:val="Hyperlink"/>
          </w:rPr>
          <w:t xml:space="preserve">[NeurIPS]</w:t>
        </w:r>
      </w:hyperlink>
      <w:bookmarkEnd w:id="106"/>
    </w:p>
    <w:p>
      <w:pPr>
        <w:pStyle w:val="Compact"/>
        <w:numPr>
          <w:ilvl w:val="0"/>
          <w:numId w:val="1003"/>
        </w:numPr>
        <w:ind w:left="360" w:hanging="259"/>
        <w:jc w:val="both"/>
        <w:keepNext w:val="0"/>
        <w:keepLines w:val="0"/>
        <w:widowControl w:val="1"/>
      </w:pPr>
      <w:bookmarkStart w:id="108" w:name="ref-naeem"/>
      <w:r>
        <w:t xml:space="preserve">Naeem, M. F., Oh, S. J., Uh, Y., Choi, Y., &amp; Yoo, J.</w:t>
      </w:r>
      <w:r>
        <w:t xml:space="preserve"> </w:t>
      </w:r>
      <w:r>
        <w:rPr>
          <w:i/>
          <w:iCs/>
        </w:rPr>
        <w:t xml:space="preserve">Reliable fidelity and diversity metrics for generative models.</w:t>
      </w:r>
      <w:r>
        <w:t xml:space="preserve"> </w:t>
      </w:r>
      <w:r>
        <w:t xml:space="preserve">ICML, 2020.</w:t>
      </w:r>
      <w:r>
        <w:t xml:space="preserve"> </w:t>
      </w:r>
      <w:hyperlink r:id="rId107">
        <w:r>
          <w:rPr>
            <w:rStyle w:val="Hyperlink"/>
          </w:rPr>
          <w:t xml:space="preserve">[PMLR]</w:t>
        </w:r>
      </w:hyperlink>
      <w:bookmarkEnd w:id="108"/>
    </w:p>
    <w:p>
      <w:pPr>
        <w:pStyle w:val="Compact"/>
        <w:numPr>
          <w:ilvl w:val="0"/>
          <w:numId w:val="1003"/>
        </w:numPr>
        <w:ind w:left="360" w:hanging="259"/>
        <w:jc w:val="both"/>
        <w:keepNext w:val="0"/>
        <w:keepLines w:val="0"/>
        <w:widowControl w:val="1"/>
      </w:pPr>
      <w:bookmarkStart w:id="110" w:name="ref-gepa"/>
      <w:r>
        <w:t xml:space="preserve">Agarwal, L., et al.</w:t>
      </w:r>
      <w:r>
        <w:t xml:space="preserve"> </w:t>
      </w:r>
      <w:r>
        <w:rPr>
          <w:i/>
          <w:iCs/>
        </w:rPr>
        <w:t xml:space="preserve">GEPA: Reflective prompt evolution can outperform reinforcement learning.</w:t>
      </w:r>
      <w:r>
        <w:t xml:space="preserve"> </w:t>
      </w:r>
      <w:r>
        <w:t xml:space="preserve">arXiv:2507.19457, 2025.</w:t>
      </w:r>
      <w:r>
        <w:t xml:space="preserve"> </w:t>
      </w:r>
      <w:hyperlink r:id="rId109">
        <w:r>
          <w:rPr>
            <w:rStyle w:val="Hyperlink"/>
          </w:rPr>
          <w:t xml:space="preserve">[arXiv]</w:t>
        </w:r>
      </w:hyperlink>
      <w:bookmarkEnd w:id="110"/>
    </w:p>
    <w:p>
      <w:pPr>
        <w:pStyle w:val="Compact"/>
        <w:numPr>
          <w:ilvl w:val="0"/>
          <w:numId w:val="1003"/>
        </w:numPr>
        <w:ind w:left="360" w:hanging="259"/>
        <w:jc w:val="both"/>
        <w:keepNext w:val="0"/>
        <w:keepLines w:val="0"/>
        <w:widowControl w:val="1"/>
      </w:pPr>
      <w:bookmarkStart w:id="112" w:name="ref-paretoprompt"/>
      <w:r>
        <w:t xml:space="preserve">Zhao, G., Yoon, B.-J., Park, G., Jha, S., Yoo, S., &amp; Qian, X.</w:t>
      </w:r>
      <w:r>
        <w:t xml:space="preserve"> </w:t>
      </w:r>
      <w:r>
        <w:rPr>
          <w:i/>
          <w:iCs/>
        </w:rPr>
        <w:t xml:space="preserve">Pareto prompt optimization.</w:t>
      </w:r>
      <w:r>
        <w:t xml:space="preserve"> </w:t>
      </w:r>
      <w:r>
        <w:t xml:space="preserve">ICLR, 2025.</w:t>
      </w:r>
      <w:r>
        <w:t xml:space="preserve"> </w:t>
      </w:r>
      <w:hyperlink r:id="rId111">
        <w:r>
          <w:rPr>
            <w:rStyle w:val="Hyperlink"/>
          </w:rPr>
          <w:t xml:space="preserve">[OpenReview]</w:t>
        </w:r>
      </w:hyperlink>
      <w:bookmarkEnd w:id="112"/>
    </w:p>
    <w:p>
      <w:pPr>
        <w:pStyle w:val="Compact"/>
        <w:numPr>
          <w:ilvl w:val="0"/>
          <w:numId w:val="1003"/>
        </w:numPr>
        <w:ind w:left="360" w:hanging="259"/>
        <w:jc w:val="both"/>
        <w:keepNext w:val="0"/>
        <w:keepLines w:val="0"/>
        <w:widowControl w:val="1"/>
      </w:pPr>
      <w:bookmarkStart w:id="114" w:name="ref-autopromptens"/>
      <w:r>
        <w:t xml:space="preserve">Li, J., Zhang, H., Lin, P., Xiong, J., &amp; Xu, W.</w:t>
      </w:r>
      <w:r>
        <w:t xml:space="preserve"> </w:t>
      </w:r>
      <w:r>
        <w:rPr>
          <w:i/>
          <w:iCs/>
        </w:rPr>
        <w:t xml:space="preserve">Auto-prompt ensemble for LLM judge.</w:t>
      </w:r>
      <w:r>
        <w:t xml:space="preserve"> </w:t>
      </w:r>
      <w:r>
        <w:t xml:space="preserve">arXiv:2510.06538, 2025.</w:t>
      </w:r>
      <w:r>
        <w:t xml:space="preserve"> </w:t>
      </w:r>
      <w:hyperlink r:id="rId113">
        <w:r>
          <w:rPr>
            <w:rStyle w:val="Hyperlink"/>
          </w:rPr>
          <w:t xml:space="preserve">[arXiv]</w:t>
        </w:r>
      </w:hyperlink>
      <w:bookmarkEnd w:id="114"/>
    </w:p>
    <w:p>
      <w:pPr>
        <w:pStyle w:val="Compact"/>
        <w:numPr>
          <w:ilvl w:val="0"/>
          <w:numId w:val="1003"/>
        </w:numPr>
        <w:ind w:left="360" w:hanging="259"/>
        <w:jc w:val="both"/>
        <w:keepNext w:val="0"/>
        <w:keepLines w:val="0"/>
        <w:widowControl w:val="1"/>
      </w:pPr>
      <w:bookmarkStart w:id="116" w:name="ref-debatejudges"/>
      <w:r>
        <w:t xml:space="preserve">Hu, et al.</w:t>
      </w:r>
      <w:r>
        <w:t xml:space="preserve"> </w:t>
      </w:r>
      <w:r>
        <w:rPr>
          <w:i/>
          <w:iCs/>
        </w:rPr>
        <w:t xml:space="preserve">Multi-agent debate for LLM judges with adaptive stability detection.</w:t>
      </w:r>
      <w:r>
        <w:t xml:space="preserve"> </w:t>
      </w:r>
      <w:r>
        <w:t xml:space="preserve">arXiv:2510.12697, 2025.</w:t>
      </w:r>
      <w:r>
        <w:t xml:space="preserve"> </w:t>
      </w:r>
      <w:hyperlink r:id="rId115">
        <w:r>
          <w:rPr>
            <w:rStyle w:val="Hyperlink"/>
          </w:rPr>
          <w:t xml:space="preserve">[arXiv]</w:t>
        </w:r>
      </w:hyperlink>
      <w:bookmarkEnd w:id="116"/>
    </w:p>
    <w:p>
      <w:pPr>
        <w:pStyle w:val="Compact"/>
        <w:numPr>
          <w:ilvl w:val="0"/>
          <w:numId w:val="1003"/>
        </w:numPr>
        <w:ind w:left="360" w:hanging="259"/>
        <w:jc w:val="both"/>
        <w:keepNext w:val="0"/>
        <w:keepLines w:val="0"/>
        <w:widowControl w:val="1"/>
      </w:pPr>
      <w:bookmarkStart w:id="118" w:name="ref-verbsampling"/>
      <w:r>
        <w:t xml:space="preserve">Zhang, et al.</w:t>
      </w:r>
      <w:r>
        <w:t xml:space="preserve"> </w:t>
      </w:r>
      <w:r>
        <w:rPr>
          <w:i/>
          <w:iCs/>
        </w:rPr>
        <w:t xml:space="preserve">Verbalized sampling: How to mitigate mode collapse and unlock LLM diversity.</w:t>
      </w:r>
      <w:r>
        <w:t xml:space="preserve"> </w:t>
      </w:r>
      <w:r>
        <w:t xml:space="preserve">arXiv:2510.01171, 2025.</w:t>
      </w:r>
      <w:r>
        <w:t xml:space="preserve"> </w:t>
      </w:r>
      <w:hyperlink r:id="rId117">
        <w:r>
          <w:rPr>
            <w:rStyle w:val="Hyperlink"/>
          </w:rPr>
          <w:t xml:space="preserve">[arXiv]</w:t>
        </w:r>
      </w:hyperlink>
      <w:bookmarkEnd w:id="118"/>
    </w:p>
    <w:p>
      <w:pPr>
        <w:pStyle w:val="Compact"/>
        <w:numPr>
          <w:ilvl w:val="0"/>
          <w:numId w:val="1003"/>
        </w:numPr>
        <w:ind w:left="360" w:hanging="259"/>
        <w:jc w:val="both"/>
        <w:keepNext w:val="0"/>
        <w:keepLines w:val="0"/>
        <w:widowControl w:val="1"/>
      </w:pPr>
      <w:bookmarkStart w:id="120" w:name="ref-nanoflux"/>
      <w:r>
        <w:t xml:space="preserve">Anantha, R., Hor, S., Antoniu, T. N., &amp; Price, L. C.</w:t>
      </w:r>
      <w:r>
        <w:t xml:space="preserve"> </w:t>
      </w:r>
      <w:r>
        <w:rPr>
          <w:i/>
          <w:iCs/>
        </w:rPr>
        <w:t xml:space="preserve">NanoFlux: Adversarial dual-LLM evaluation and distillation for multi-domain reasoning.</w:t>
      </w:r>
      <w:r>
        <w:t xml:space="preserve"> </w:t>
      </w:r>
      <w:r>
        <w:t xml:space="preserve">arXiv:2509.23252, 2025.</w:t>
      </w:r>
      <w:r>
        <w:t xml:space="preserve"> </w:t>
      </w:r>
      <w:hyperlink r:id="rId119">
        <w:r>
          <w:rPr>
            <w:rStyle w:val="Hyperlink"/>
          </w:rPr>
          <w:t xml:space="preserve">[arXiv]</w:t>
        </w:r>
      </w:hyperlink>
      <w:bookmarkEnd w:id="120"/>
    </w:p>
    <w:p>
      <w:pPr>
        <w:pStyle w:val="Compact"/>
        <w:numPr>
          <w:ilvl w:val="0"/>
          <w:numId w:val="1003"/>
        </w:numPr>
        <w:ind w:left="360" w:hanging="259"/>
        <w:jc w:val="both"/>
        <w:keepNext w:val="0"/>
        <w:keepLines w:val="0"/>
        <w:widowControl w:val="1"/>
      </w:pPr>
      <w:bookmarkStart w:id="122" w:name="ref-strongcollapse"/>
      <w:r>
        <w:t xml:space="preserve">Dohmatob, E., Feng, Y., Subramonian, A., &amp; Kempe, J.</w:t>
      </w:r>
      <w:r>
        <w:t xml:space="preserve"> </w:t>
      </w:r>
      <w:r>
        <w:rPr>
          <w:i/>
          <w:iCs/>
        </w:rPr>
        <w:t xml:space="preserve">Strong model collapse.</w:t>
      </w:r>
      <w:r>
        <w:t xml:space="preserve"> </w:t>
      </w:r>
      <w:r>
        <w:t xml:space="preserve">ICLR, 2025.</w:t>
      </w:r>
      <w:r>
        <w:t xml:space="preserve"> </w:t>
      </w:r>
      <w:hyperlink r:id="rId121">
        <w:r>
          <w:rPr>
            <w:rStyle w:val="Hyperlink"/>
          </w:rPr>
          <w:t xml:space="preserve">[OpenReview]</w:t>
        </w:r>
      </w:hyperlink>
      <w:bookmarkEnd w:id="122"/>
    </w:p>
    <w:p>
      <w:pPr>
        <w:pStyle w:val="Compact"/>
        <w:numPr>
          <w:ilvl w:val="0"/>
          <w:numId w:val="1003"/>
        </w:numPr>
        <w:ind w:left="360" w:hanging="259"/>
        <w:jc w:val="both"/>
        <w:keepNext w:val="0"/>
        <w:keepLines w:val="0"/>
        <w:widowControl w:val="1"/>
      </w:pPr>
      <w:bookmarkStart w:id="124" w:name="ref-shumalovnote"/>
      <w:r>
        <w:t xml:space="preserve">Borji, A.</w:t>
      </w:r>
      <w:r>
        <w:t xml:space="preserve"> </w:t>
      </w:r>
      <w:r>
        <w:rPr>
          <w:i/>
          <w:iCs/>
        </w:rPr>
        <w:t xml:space="preserve">A note on Shumailov et al. (2024): "AI Models Collapse When Trained on Recursively Generated Data".</w:t>
      </w:r>
      <w:r>
        <w:t xml:space="preserve"> </w:t>
      </w:r>
      <w:r>
        <w:t xml:space="preserve">arXiv:2410.12954, 2024.</w:t>
      </w:r>
      <w:r>
        <w:t xml:space="preserve"> </w:t>
      </w:r>
      <w:hyperlink r:id="rId123">
        <w:r>
          <w:rPr>
            <w:rStyle w:val="Hyperlink"/>
          </w:rPr>
          <w:t xml:space="preserve">[arXiv]</w:t>
        </w:r>
      </w:hyperlink>
      <w:bookmarkEnd w:id="124"/>
    </w:p>
    <w:p>
      <w:pPr>
        <w:pStyle w:val="Compact"/>
        <w:numPr>
          <w:ilvl w:val="0"/>
          <w:numId w:val="1003"/>
        </w:numPr>
        <w:ind w:left="360" w:hanging="259"/>
        <w:jc w:val="both"/>
        <w:keepNext w:val="0"/>
        <w:keepLines w:val="0"/>
        <w:widowControl w:val="1"/>
      </w:pPr>
      <w:bookmarkStart w:id="126" w:name="ref-syntheggs"/>
      <w:r>
        <w:t xml:space="preserve">Schaffelder, M., &amp; Gatt, A.</w:t>
      </w:r>
      <w:r>
        <w:t xml:space="preserve"> </w:t>
      </w:r>
      <w:r>
        <w:rPr>
          <w:i/>
          <w:iCs/>
        </w:rPr>
        <w:t xml:space="preserve">Synthetic eggs in many baskets: The impact of synthetic data diversity on LLM fine-tuning.</w:t>
      </w:r>
      <w:r>
        <w:t xml:space="preserve"> </w:t>
      </w:r>
      <w:r>
        <w:t xml:space="preserve">arXiv:2511.01490, 2025.</w:t>
      </w:r>
      <w:r>
        <w:t xml:space="preserve"> </w:t>
      </w:r>
      <w:hyperlink r:id="rId125">
        <w:r>
          <w:rPr>
            <w:rStyle w:val="Hyperlink"/>
          </w:rPr>
          <w:t xml:space="preserve">[arXiv]</w:t>
        </w:r>
      </w:hyperlink>
      <w:bookmarkEnd w:id="126"/>
    </w:p>
    <w:p>
      <w:pPr>
        <w:pStyle w:val="Compact"/>
        <w:numPr>
          <w:ilvl w:val="0"/>
          <w:numId w:val="1003"/>
        </w:numPr>
        <w:ind w:left="360" w:hanging="259"/>
        <w:jc w:val="both"/>
        <w:keepNext w:val="0"/>
        <w:keepLines w:val="0"/>
        <w:widowControl w:val="1"/>
      </w:pPr>
      <w:bookmarkStart w:id="128" w:name="ref-mgtfilter"/>
      <w:r>
        <w:t xml:space="preserve">Drayson, G., Yilmaz, E., &amp; Lampos, V.</w:t>
      </w:r>
      <w:r>
        <w:t xml:space="preserve"> </w:t>
      </w:r>
      <w:r>
        <w:rPr>
          <w:i/>
          <w:iCs/>
        </w:rPr>
        <w:t xml:space="preserve">Machine-generated text detection prevents language model collapse.</w:t>
      </w:r>
      <w:r>
        <w:t xml:space="preserve"> </w:t>
      </w:r>
      <w:r>
        <w:t xml:space="preserve">arXiv:2502.15654, 2025.</w:t>
      </w:r>
      <w:r>
        <w:t xml:space="preserve"> </w:t>
      </w:r>
      <w:hyperlink r:id="rId127">
        <w:r>
          <w:rPr>
            <w:rStyle w:val="Hyperlink"/>
          </w:rPr>
          <w:t xml:space="preserve">[arXiv]</w:t>
        </w:r>
      </w:hyperlink>
      <w:bookmarkEnd w:id="128"/>
    </w:p>
    <w:p>
      <w:pPr>
        <w:pStyle w:val="Compact"/>
        <w:numPr>
          <w:ilvl w:val="0"/>
          <w:numId w:val="1003"/>
        </w:numPr>
        <w:ind w:left="360" w:hanging="259"/>
        <w:jc w:val="both"/>
        <w:keepNext w:val="0"/>
        <w:keepLines w:val="0"/>
        <w:widowControl w:val="1"/>
      </w:pPr>
      <w:bookmarkStart w:id="130" w:name="ref-improveddre"/>
      <w:r>
        <w:t xml:space="preserve">Gruber, L., Holzleitner, M., Hochreiter, S., &amp; Zellinger, W.</w:t>
      </w:r>
      <w:r>
        <w:t xml:space="preserve"> </w:t>
      </w:r>
      <w:r>
        <w:rPr>
          <w:i/>
          <w:iCs/>
        </w:rPr>
        <w:t xml:space="preserve">Improved density ratio estimation for evaluating synthetic data quality.</w:t>
      </w:r>
      <w:r>
        <w:t xml:space="preserve"> </w:t>
      </w:r>
      <w:r>
        <w:t xml:space="preserve">ICLR 2025 Workshop SynthData.</w:t>
      </w:r>
      <w:r>
        <w:t xml:space="preserve"> </w:t>
      </w:r>
      <w:hyperlink r:id="rId129">
        <w:r>
          <w:rPr>
            <w:rStyle w:val="Hyperlink"/>
          </w:rPr>
          <w:t xml:space="preserve">[OpenReview]</w:t>
        </w:r>
      </w:hyperlink>
      <w:bookmarkEnd w:id="130"/>
    </w:p>
    <w:p>
      <w:pPr>
        <w:pStyle w:val="Compact"/>
        <w:numPr>
          <w:ilvl w:val="0"/>
          <w:numId w:val="1003"/>
        </w:numPr>
        <w:ind w:left="360" w:hanging="259"/>
        <w:jc w:val="both"/>
        <w:keepNext w:val="0"/>
        <w:keepLines w:val="0"/>
        <w:widowControl w:val="1"/>
      </w:pPr>
      <w:bookmarkStart w:id="132" w:name="ref-scendi"/>
      <w:r>
        <w:t xml:space="preserve">Ospanov, A., Jalali, M., &amp; Farnia, F.</w:t>
      </w:r>
      <w:r>
        <w:t xml:space="preserve"> </w:t>
      </w:r>
      <w:r>
        <w:rPr>
          <w:i/>
          <w:iCs/>
        </w:rPr>
        <w:t xml:space="preserve">Scendi score: Prompt-aware diversity evaluation via Schur complement of CLIP embeddings.</w:t>
      </w:r>
      <w:r>
        <w:t xml:space="preserve"> </w:t>
      </w:r>
      <w:r>
        <w:t xml:space="preserve">arXiv:2412.18645, 2024.</w:t>
      </w:r>
      <w:r>
        <w:t xml:space="preserve"> </w:t>
      </w:r>
      <w:hyperlink r:id="rId131">
        <w:r>
          <w:rPr>
            <w:rStyle w:val="Hyperlink"/>
          </w:rPr>
          <w:t xml:space="preserve">[arXiv]</w:t>
        </w:r>
      </w:hyperlink>
      <w:bookmarkEnd w:id="132"/>
    </w:p>
    <w:p>
      <w:pPr>
        <w:pStyle w:val="Compact"/>
        <w:numPr>
          <w:ilvl w:val="0"/>
          <w:numId w:val="1003"/>
        </w:numPr>
        <w:ind w:left="360" w:hanging="259"/>
        <w:jc w:val="both"/>
        <w:keepNext w:val="0"/>
        <w:keepLines w:val="0"/>
        <w:widowControl w:val="1"/>
      </w:pPr>
      <w:bookmarkStart w:id="134" w:name="ref-li-distinct"/>
      <w:r>
        <w:t xml:space="preserve">Li, J., Galley, M., Brockett, C., Gao, J., &amp; Dolan, B.</w:t>
      </w:r>
      <w:r>
        <w:t xml:space="preserve"> </w:t>
      </w:r>
      <w:r>
        <w:rPr>
          <w:i/>
          <w:iCs/>
        </w:rPr>
        <w:t xml:space="preserve">A diversity-promoting objective function for neural conversation models.</w:t>
      </w:r>
      <w:r>
        <w:t xml:space="preserve"> </w:t>
      </w:r>
      <w:r>
        <w:t xml:space="preserve">NAACL, 2016.</w:t>
      </w:r>
      <w:r>
        <w:t xml:space="preserve"> </w:t>
      </w:r>
      <w:hyperlink r:id="rId133">
        <w:r>
          <w:rPr>
            <w:rStyle w:val="Hyperlink"/>
          </w:rPr>
          <w:t xml:space="preserve">[ACL Anthology]</w:t>
        </w:r>
      </w:hyperlink>
      <w:bookmarkEnd w:id="134"/>
    </w:p>
    <w:p>
      <w:pPr>
        <w:pStyle w:val="Compact"/>
        <w:numPr>
          <w:ilvl w:val="0"/>
          <w:numId w:val="1003"/>
        </w:numPr>
        <w:ind w:left="360" w:hanging="259"/>
        <w:jc w:val="both"/>
        <w:keepNext w:val="0"/>
        <w:keepLines w:val="0"/>
        <w:widowControl w:val="1"/>
      </w:pPr>
      <w:bookmarkStart w:id="136" w:name="ref-gretton"/>
      <w:r>
        <w:t xml:space="preserve">Gretton, A., Borgwardt, K. M., Rasch, M. J., Schölkopf, B., &amp; Smola, A.</w:t>
      </w:r>
      <w:r>
        <w:t xml:space="preserve"> </w:t>
      </w:r>
      <w:r>
        <w:rPr>
          <w:i/>
          <w:iCs/>
        </w:rPr>
        <w:t xml:space="preserve">A kernel two-sample test.</w:t>
      </w:r>
      <w:r>
        <w:t xml:space="preserve"> </w:t>
      </w:r>
      <w:r>
        <w:t xml:space="preserve">Journal of Machine Learning Research, 13:723-773, 2012.</w:t>
      </w:r>
      <w:r>
        <w:t xml:space="preserve"> </w:t>
      </w:r>
      <w:hyperlink r:id="rId135">
        <w:r>
          <w:rPr>
            <w:rStyle w:val="Hyperlink"/>
          </w:rPr>
          <w:t xml:space="preserve">[JMLR]</w:t>
        </w:r>
      </w:hyperlink>
      <w:bookmarkEnd w:id="136"/>
    </w:p>
    <w:p>
      <w:pPr>
        <w:pStyle w:val="Compact"/>
        <w:numPr>
          <w:ilvl w:val="0"/>
          <w:numId w:val="1003"/>
        </w:numPr>
        <w:ind w:left="360" w:hanging="259"/>
        <w:jc w:val="both"/>
        <w:keepNext w:val="0"/>
        <w:keepLines w:val="0"/>
        <w:widowControl w:val="1"/>
      </w:pPr>
      <w:bookmarkStart w:id="138" w:name="ref-vendi"/>
      <w:r>
        <w:t xml:space="preserve">Friedman, D., &amp; Dieng, A. B.</w:t>
      </w:r>
      <w:r>
        <w:t xml:space="preserve"> </w:t>
      </w:r>
      <w:r>
        <w:rPr>
          <w:i/>
          <w:iCs/>
        </w:rPr>
        <w:t xml:space="preserve">The Vendi Score: A diversity evaluation metric for machine learning.</w:t>
      </w:r>
      <w:r>
        <w:t xml:space="preserve"> </w:t>
      </w:r>
      <w:r>
        <w:t xml:space="preserve">Transactions on Machine Learning Research, 2023.</w:t>
      </w:r>
      <w:r>
        <w:t xml:space="preserve"> </w:t>
      </w:r>
      <w:hyperlink r:id="rId137">
        <w:r>
          <w:rPr>
            <w:rStyle w:val="Hyperlink"/>
          </w:rPr>
          <w:t xml:space="preserve">[arXiv:2210.02410]</w:t>
        </w:r>
      </w:hyperlink>
      <w:bookmarkEnd w:id="138"/>
    </w:p>
    <w:p>
      <w:pPr>
        <w:pStyle w:val="Compact"/>
        <w:numPr>
          <w:ilvl w:val="0"/>
          <w:numId w:val="1003"/>
        </w:numPr>
        <w:ind w:left="360" w:hanging="259"/>
        <w:jc w:val="both"/>
        <w:keepNext w:val="0"/>
        <w:keepLines w:val="0"/>
        <w:widowControl w:val="1"/>
      </w:pPr>
      <w:bookmarkStart w:id="140" w:name="ref-banking77"/>
      <w:r>
        <w:t xml:space="preserve">Casanueva, I., Temčinas, T., Gerz, D., Henderson, M., &amp; Vulić, I.</w:t>
      </w:r>
      <w:r>
        <w:t xml:space="preserve"> </w:t>
      </w:r>
      <w:r>
        <w:rPr>
          <w:i/>
          <w:iCs/>
        </w:rPr>
        <w:t xml:space="preserve">Efficient intent detection with dual sentence encoders.</w:t>
      </w:r>
      <w:r>
        <w:t xml:space="preserve"> </w:t>
      </w:r>
      <w:r>
        <w:t xml:space="preserve">ACL NLP4ConvAI workshop, 2020.</w:t>
      </w:r>
      <w:r>
        <w:t xml:space="preserve"> </w:t>
      </w:r>
      <w:hyperlink r:id="rId139">
        <w:r>
          <w:rPr>
            <w:rStyle w:val="Hyperlink"/>
          </w:rPr>
          <w:t xml:space="preserve">[ACL Anthology]</w:t>
        </w:r>
      </w:hyperlink>
      <w:bookmarkEnd w:id="140"/>
    </w:p>
    <w:p>
      <w:pPr>
        <w:pStyle w:val="Compact"/>
        <w:numPr>
          <w:ilvl w:val="0"/>
          <w:numId w:val="1003"/>
        </w:numPr>
        <w:ind w:left="360" w:hanging="259"/>
        <w:jc w:val="both"/>
        <w:keepNext w:val="0"/>
        <w:keepLines w:val="0"/>
        <w:widowControl w:val="1"/>
      </w:pPr>
      <w:bookmarkStart w:id="142" w:name="ref-pace"/>
      <w:r>
        <w:t xml:space="preserve">El-Hajjami, A., &amp; Salinesi, C.</w:t>
      </w:r>
      <w:r>
        <w:t xml:space="preserve"> </w:t>
      </w:r>
      <w:r>
        <w:rPr>
          <w:i/>
          <w:iCs/>
        </w:rPr>
        <w:t xml:space="preserve">Multi-sample prompting and actor-critic prompt optimization for diverse synthetic data generation.</w:t>
      </w:r>
      <w:r>
        <w:t xml:space="preserve"> </w:t>
      </w:r>
      <w:r>
        <w:t xml:space="preserve">EMNLP, 2025.</w:t>
      </w:r>
      <w:r>
        <w:t xml:space="preserve"> </w:t>
      </w:r>
      <w:hyperlink r:id="rId141">
        <w:r>
          <w:rPr>
            <w:rStyle w:val="Hyperlink"/>
          </w:rPr>
          <w:t xml:space="preserve">[arXiv:2506.21138]</w:t>
        </w:r>
      </w:hyperlink>
      <w:bookmarkEnd w:id="142"/>
    </w:p>
    <w:p>
      <w:pPr>
        <w:pStyle w:val="Compact"/>
        <w:numPr>
          <w:ilvl w:val="0"/>
          <w:numId w:val="1003"/>
        </w:numPr>
        <w:ind w:left="360" w:hanging="259"/>
        <w:jc w:val="both"/>
        <w:keepNext w:val="0"/>
        <w:keepLines w:val="0"/>
        <w:widowControl w:val="1"/>
      </w:pPr>
      <w:bookmarkStart w:id="144" w:name="ref-genprompt"/>
      <w:r>
        <w:t xml:space="preserve">Han, G., Liu, W., &amp; Huang, X.</w:t>
      </w:r>
      <w:r>
        <w:t xml:space="preserve"> </w:t>
      </w:r>
      <w:r>
        <w:rPr>
          <w:i/>
          <w:iCs/>
        </w:rPr>
        <w:t xml:space="preserve">Attributes as textual genes: Leveraging LLMs as genetic algorithm simulators for conditional synthetic data generation.</w:t>
      </w:r>
      <w:r>
        <w:t xml:space="preserve"> </w:t>
      </w:r>
      <w:r>
        <w:t xml:space="preserve">Findings of EMNLP, 2025.</w:t>
      </w:r>
      <w:r>
        <w:t xml:space="preserve"> </w:t>
      </w:r>
      <w:hyperlink r:id="rId143">
        <w:r>
          <w:rPr>
            <w:rStyle w:val="Hyperlink"/>
          </w:rPr>
          <w:t xml:space="preserve">[arXiv:2509.02040]</w:t>
        </w:r>
      </w:hyperlink>
      <w:bookmarkEnd w:id="144"/>
    </w:p>
    <w:p>
      <w:pPr>
        <w:pStyle w:val="Compact"/>
        <w:numPr>
          <w:ilvl w:val="0"/>
          <w:numId w:val="1003"/>
        </w:numPr>
        <w:ind w:left="360" w:hanging="259"/>
        <w:jc w:val="both"/>
        <w:keepNext w:val="0"/>
        <w:keepLines w:val="0"/>
        <w:widowControl w:val="1"/>
      </w:pPr>
      <w:bookmarkStart w:id="146" w:name="ref-condvendi"/>
      <w:r>
        <w:t xml:space="preserve">Jalali, M., Ospanov, A., Gohari, A., &amp; Farnia, F.</w:t>
      </w:r>
      <w:r>
        <w:t xml:space="preserve"> </w:t>
      </w:r>
      <w:r>
        <w:rPr>
          <w:i/>
          <w:iCs/>
        </w:rPr>
        <w:t xml:space="preserve">Conditional Vendi score: An information-theoretic approach to diversity evaluation of prompt-based generative models.</w:t>
      </w:r>
      <w:r>
        <w:t xml:space="preserve"> </w:t>
      </w:r>
      <w:r>
        <w:t xml:space="preserve">arXiv:2411.02817, 2024.</w:t>
      </w:r>
      <w:r>
        <w:t xml:space="preserve"> </w:t>
      </w:r>
      <w:hyperlink r:id="rId145">
        <w:r>
          <w:rPr>
            <w:rStyle w:val="Hyperlink"/>
          </w:rPr>
          <w:t xml:space="preserve">[arXiv]</w:t>
        </w:r>
      </w:hyperlink>
      <w:bookmarkEnd w:id="146"/>
    </w:p>
    <w:p>
      <w:pPr>
        <w:pStyle w:val="Compact"/>
        <w:numPr>
          <w:ilvl w:val="0"/>
          <w:numId w:val="1003"/>
        </w:numPr>
        <w:ind w:left="360" w:hanging="259"/>
        <w:jc w:val="both"/>
        <w:keepNext w:val="0"/>
        <w:keepLines w:val="0"/>
        <w:widowControl w:val="1"/>
      </w:pPr>
      <w:bookmarkStart w:id="148" w:name="ref-perfine"/>
      <w:r>
        <w:t xml:space="preserve">PerFine team.</w:t>
      </w:r>
      <w:r>
        <w:t xml:space="preserve"> </w:t>
      </w:r>
      <w:r>
        <w:rPr>
          <w:i/>
          <w:iCs/>
        </w:rPr>
        <w:t xml:space="preserve">PerFine: Iterative critique-refine for LLM personalization with structured multi-dimensional complaints.</w:t>
      </w:r>
      <w:r>
        <w:t xml:space="preserve"> </w:t>
      </w:r>
      <w:r>
        <w:t xml:space="preserve">arXiv:2510.24469, 2025.</w:t>
      </w:r>
      <w:r>
        <w:t xml:space="preserve"> </w:t>
      </w:r>
      <w:hyperlink r:id="rId147">
        <w:r>
          <w:rPr>
            <w:rStyle w:val="Hyperlink"/>
          </w:rPr>
          <w:t xml:space="preserve">[arXiv]</w:t>
        </w:r>
      </w:hyperlink>
      <w:bookmarkEnd w:id="148"/>
    </w:p>
    <w:p>
      <w:pPr>
        <w:pStyle w:val="Compact"/>
        <w:numPr>
          <w:ilvl w:val="0"/>
          <w:numId w:val="1003"/>
        </w:numPr>
        <w:ind w:left="360" w:hanging="259"/>
        <w:jc w:val="both"/>
        <w:keepNext w:val="0"/>
        <w:keepLines w:val="0"/>
        <w:widowControl w:val="1"/>
      </w:pPr>
      <w:bookmarkStart w:id="150" w:name="ref-cotselfinstr"/>
      <w:r>
        <w:t xml:space="preserve">Yu, P., et al.</w:t>
      </w:r>
      <w:r>
        <w:t xml:space="preserve"> </w:t>
      </w:r>
      <w:r>
        <w:rPr>
          <w:i/>
          <w:iCs/>
        </w:rPr>
        <w:t xml:space="preserve">CoT-Self-Instruct: Synthesizing high-quality data from chain-of-thought seeds with answer consistency and instruction-preference filtering.</w:t>
      </w:r>
      <w:r>
        <w:t xml:space="preserve"> </w:t>
      </w:r>
      <w:r>
        <w:t xml:space="preserve">arXiv:2507.23751, 2025.</w:t>
      </w:r>
      <w:r>
        <w:t xml:space="preserve"> </w:t>
      </w:r>
      <w:hyperlink r:id="rId149">
        <w:r>
          <w:rPr>
            <w:rStyle w:val="Hyperlink"/>
          </w:rPr>
          <w:t xml:space="preserve">[arXiv]</w:t>
        </w:r>
      </w:hyperlink>
      <w:bookmarkEnd w:id="150"/>
    </w:p>
    <w:p>
      <w:pPr>
        <w:pStyle w:val="Compact"/>
        <w:numPr>
          <w:ilvl w:val="0"/>
          <w:numId w:val="1003"/>
        </w:numPr>
        <w:ind w:left="360" w:hanging="259"/>
        <w:jc w:val="both"/>
        <w:keepNext w:val="0"/>
        <w:keepLines w:val="0"/>
        <w:widowControl w:val="1"/>
      </w:pPr>
      <w:bookmarkStart w:id="152" w:name="ref-synque"/>
      <w:r>
        <w:t xml:space="preserve">Chen, A., &amp; Zhong, V.</w:t>
      </w:r>
      <w:r>
        <w:t xml:space="preserve"> </w:t>
      </w:r>
      <w:r>
        <w:rPr>
          <w:i/>
          <w:iCs/>
        </w:rPr>
        <w:t xml:space="preserve">SynQuE: Estimating synthetic dataset quality without annotations.</w:t>
      </w:r>
      <w:r>
        <w:t xml:space="preserve"> </w:t>
      </w:r>
      <w:r>
        <w:t xml:space="preserve">arXiv:2511.03928, 2025.</w:t>
      </w:r>
      <w:r>
        <w:t xml:space="preserve"> </w:t>
      </w:r>
      <w:hyperlink r:id="rId151">
        <w:r>
          <w:rPr>
            <w:rStyle w:val="Hyperlink"/>
          </w:rPr>
          <w:t xml:space="preserve">[arXiv]</w:t>
        </w:r>
      </w:hyperlink>
      <w:bookmarkEnd w:id="152"/>
    </w:p>
    <w:p>
      <w:pPr>
        <w:pStyle w:val="Compact"/>
        <w:numPr>
          <w:ilvl w:val="0"/>
          <w:numId w:val="1003"/>
        </w:numPr>
        <w:ind w:left="360" w:hanging="259"/>
        <w:jc w:val="both"/>
        <w:keepNext w:val="0"/>
        <w:keepLines w:val="0"/>
        <w:widowControl w:val="1"/>
      </w:pPr>
      <w:bookmarkStart w:id="154" w:name="ref-qdc"/>
      <w:r>
        <w:t xml:space="preserve">Havrilla, A., et al.</w:t>
      </w:r>
      <w:r>
        <w:t xml:space="preserve"> </w:t>
      </w:r>
      <w:r>
        <w:rPr>
          <w:i/>
          <w:iCs/>
        </w:rPr>
        <w:t xml:space="preserve">Surveying quality, diversity, and complexity in synthetic data.</w:t>
      </w:r>
      <w:r>
        <w:t xml:space="preserve"> </w:t>
      </w:r>
      <w:r>
        <w:t xml:space="preserve">arXiv:2412.02980, 2024.</w:t>
      </w:r>
      <w:r>
        <w:t xml:space="preserve"> </w:t>
      </w:r>
      <w:hyperlink r:id="rId153">
        <w:r>
          <w:rPr>
            <w:rStyle w:val="Hyperlink"/>
          </w:rPr>
          <w:t xml:space="preserve">[arXiv]</w:t>
        </w:r>
      </w:hyperlink>
      <w:bookmarkEnd w:id="154"/>
    </w:p>
    <w:p>
      <w:pPr>
        <w:pStyle w:val="Compact"/>
        <w:numPr>
          <w:ilvl w:val="0"/>
          <w:numId w:val="1003"/>
        </w:numPr>
        <w:ind w:left="360" w:hanging="259"/>
        <w:jc w:val="both"/>
        <w:keepNext w:val="0"/>
        <w:keepLines w:val="0"/>
        <w:widowControl w:val="1"/>
      </w:pPr>
      <w:bookmarkStart w:id="156" w:name="ref-attrprompt"/>
      <w:r>
        <w:t xml:space="preserve">Yu, Y., Zhuang, Y., Zhang, J., Meng, Y., Ratner, A., Krishna, R., Shen, J., &amp; Zhang, C.</w:t>
      </w:r>
      <w:r>
        <w:t xml:space="preserve"> </w:t>
      </w:r>
      <w:r>
        <w:rPr>
          <w:i/>
          <w:iCs/>
        </w:rPr>
        <w:t xml:space="preserve">Large language model as attributed training data generator: A tale of diversity and bias.</w:t>
      </w:r>
      <w:r>
        <w:t xml:space="preserve"> </w:t>
      </w:r>
      <w:r>
        <w:t xml:space="preserve">NeurIPS, 2023.</w:t>
      </w:r>
      <w:r>
        <w:t xml:space="preserve"> </w:t>
      </w:r>
      <w:hyperlink r:id="rId155">
        <w:r>
          <w:rPr>
            <w:rStyle w:val="Hyperlink"/>
          </w:rPr>
          <w:t xml:space="preserve">[arXiv:2306.15895]</w:t>
        </w:r>
      </w:hyperlink>
      <w:bookmarkEnd w:id="156"/>
    </w:p>
    <w:p>
      <w:pPr>
        <w:pStyle w:val="Compact"/>
        <w:numPr>
          <w:ilvl w:val="0"/>
          <w:numId w:val="1003"/>
        </w:numPr>
        <w:ind w:left="360" w:hanging="259"/>
        <w:jc w:val="both"/>
        <w:keepNext w:val="0"/>
        <w:keepLines w:val="0"/>
        <w:widowControl w:val="1"/>
      </w:pPr>
      <w:bookmarkStart w:id="158" w:name="ref-s3"/>
      <w:r>
        <w:t xml:space="preserve">Wang, R., Zhou, H., &amp; Sachan, M.</w:t>
      </w:r>
      <w:r>
        <w:t xml:space="preserve"> </w:t>
      </w:r>
      <w:r>
        <w:rPr>
          <w:i/>
          <w:iCs/>
        </w:rPr>
        <w:t xml:space="preserve">Let's synthesize step by step: Iterative dataset synthesis with large language models by extrapolating errors from small models.</w:t>
      </w:r>
      <w:r>
        <w:t xml:space="preserve"> </w:t>
      </w:r>
      <w:r>
        <w:t xml:space="preserve">Findings of EMNLP, 2023.</w:t>
      </w:r>
      <w:r>
        <w:t xml:space="preserve"> </w:t>
      </w:r>
      <w:hyperlink r:id="rId157">
        <w:r>
          <w:rPr>
            <w:rStyle w:val="Hyperlink"/>
          </w:rPr>
          <w:t xml:space="preserve">[arXiv:2310.13671]</w:t>
        </w:r>
      </w:hyperlink>
      <w:bookmarkEnd w:id="158"/>
    </w:p>
    <w:p>
      <w:pPr>
        <w:pStyle w:val="Compact"/>
        <w:numPr>
          <w:ilvl w:val="0"/>
          <w:numId w:val="1003"/>
        </w:numPr>
        <w:ind w:left="360" w:hanging="259"/>
        <w:jc w:val="both"/>
        <w:keepNext w:val="0"/>
        <w:keepLines w:val="0"/>
        <w:widowControl w:val="1"/>
      </w:pPr>
      <w:bookmarkStart w:id="160" w:name="ref-targen"/>
      <w:r>
        <w:t xml:space="preserve">Gupta, H., Scaria, K., Anantheswaran, U., Verma, S., Parmar, M., Sawant, S. A., Mishra, S., &amp; Baral, C.</w:t>
      </w:r>
      <w:r>
        <w:t xml:space="preserve"> </w:t>
      </w:r>
      <w:r>
        <w:rPr>
          <w:i/>
          <w:iCs/>
        </w:rPr>
        <w:t xml:space="preserve">TarGEN: Targeted data generation with large language models.</w:t>
      </w:r>
      <w:r>
        <w:t xml:space="preserve"> </w:t>
      </w:r>
      <w:r>
        <w:t xml:space="preserve">arXiv:2310.17876, 2023.</w:t>
      </w:r>
      <w:r>
        <w:t xml:space="preserve"> </w:t>
      </w:r>
      <w:hyperlink r:id="rId159">
        <w:r>
          <w:rPr>
            <w:rStyle w:val="Hyperlink"/>
          </w:rPr>
          <w:t xml:space="preserve">[arXiv:2310.17876]</w:t>
        </w:r>
      </w:hyperlink>
      <w:bookmarkEnd w:id="160"/>
    </w:p>
    <w:p>
      <w:pPr>
        <w:pStyle w:val="Compact"/>
        <w:numPr>
          <w:ilvl w:val="0"/>
          <w:numId w:val="1003"/>
        </w:numPr>
        <w:ind w:left="360" w:hanging="259"/>
        <w:jc w:val="both"/>
        <w:keepNext w:val="0"/>
        <w:keepLines w:val="0"/>
        <w:widowControl w:val="1"/>
      </w:pPr>
      <w:bookmarkStart w:id="162" w:name="ref-arise"/>
      <w:r>
        <w:t xml:space="preserve">Yaswanth, B. P. S., Khare, S., et al.</w:t>
      </w:r>
      <w:r>
        <w:t xml:space="preserve"> </w:t>
      </w:r>
      <w:r>
        <w:rPr>
          <w:i/>
          <w:iCs/>
        </w:rPr>
        <w:t xml:space="preserve">ARISE: Iterative rule induction and synthetic data generation for text classification.</w:t>
      </w:r>
      <w:r>
        <w:t xml:space="preserve"> </w:t>
      </w:r>
      <w:r>
        <w:t xml:space="preserve">Findings of NAACL, 2025.</w:t>
      </w:r>
      <w:r>
        <w:t xml:space="preserve"> </w:t>
      </w:r>
      <w:hyperlink r:id="rId161">
        <w:r>
          <w:rPr>
            <w:rStyle w:val="Hyperlink"/>
          </w:rPr>
          <w:t xml:space="preserve">[arXiv:2502.05923]</w:t>
        </w:r>
      </w:hyperlink>
      <w:bookmarkEnd w:id="162"/>
    </w:p>
    <w:p>
      <w:pPr>
        <w:pStyle w:val="Compact"/>
        <w:numPr>
          <w:ilvl w:val="0"/>
          <w:numId w:val="1003"/>
        </w:numPr>
        <w:ind w:left="360" w:hanging="259"/>
        <w:jc w:val="both"/>
        <w:keepNext w:val="0"/>
        <w:keepLines w:val="0"/>
        <w:widowControl w:val="1"/>
      </w:pPr>
      <w:bookmarkStart w:id="164" w:name="ref-wanli"/>
      <w:r>
        <w:t xml:space="preserve">Liu, A., Swayamdipta, S., Smith, N. A., &amp; Choi, Y.</w:t>
      </w:r>
      <w:r>
        <w:t xml:space="preserve"> </w:t>
      </w:r>
      <w:r>
        <w:rPr>
          <w:i/>
          <w:iCs/>
        </w:rPr>
        <w:t xml:space="preserve">WANLI: Worker and AI collaboration for natural language inference dataset creation.</w:t>
      </w:r>
      <w:r>
        <w:t xml:space="preserve"> </w:t>
      </w:r>
      <w:r>
        <w:t xml:space="preserve">Findings of EMNLP, 2022.</w:t>
      </w:r>
      <w:r>
        <w:t xml:space="preserve"> </w:t>
      </w:r>
      <w:hyperlink r:id="rId163">
        <w:r>
          <w:rPr>
            <w:rStyle w:val="Hyperlink"/>
          </w:rPr>
          <w:t xml:space="preserve">[arXiv:2201.05955]</w:t>
        </w:r>
      </w:hyperlink>
      <w:bookmarkEnd w:id="164"/>
    </w:p>
    <w:p>
      <w:pPr>
        <w:pStyle w:val="Compact"/>
        <w:numPr>
          <w:ilvl w:val="0"/>
          <w:numId w:val="1003"/>
        </w:numPr>
        <w:ind w:left="360" w:hanging="259"/>
        <w:jc w:val="both"/>
        <w:keepNext w:val="0"/>
        <w:keepLines w:val="0"/>
        <w:widowControl w:val="1"/>
      </w:pPr>
      <w:bookmarkStart w:id="166" w:name="ref-reflexion"/>
      <w:r>
        <w:t xml:space="preserve">Shinn, N., Cassano, F., Berman, E., Gopinath, A., Narasimhan, K., &amp; Yao, S.</w:t>
      </w:r>
      <w:r>
        <w:t xml:space="preserve"> </w:t>
      </w:r>
      <w:r>
        <w:rPr>
          <w:i/>
          <w:iCs/>
        </w:rPr>
        <w:t xml:space="preserve">Reflexion: Language agents with verbal reinforcement learning.</w:t>
      </w:r>
      <w:r>
        <w:t xml:space="preserve"> </w:t>
      </w:r>
      <w:r>
        <w:t xml:space="preserve">NeurIPS, 2023.</w:t>
      </w:r>
      <w:r>
        <w:t xml:space="preserve"> </w:t>
      </w:r>
      <w:hyperlink r:id="rId165">
        <w:r>
          <w:rPr>
            <w:rStyle w:val="Hyperlink"/>
          </w:rPr>
          <w:t xml:space="preserve">[arXiv:2303.11366]</w:t>
        </w:r>
      </w:hyperlink>
      <w:bookmarkEnd w:id="166"/>
    </w:p>
    <w:p>
      <w:pPr>
        <w:pStyle w:val="Compact"/>
        <w:numPr>
          <w:ilvl w:val="0"/>
          <w:numId w:val="1003"/>
        </w:numPr>
        <w:ind w:left="360" w:hanging="259"/>
        <w:jc w:val="both"/>
        <w:keepNext w:val="0"/>
        <w:keepLines w:val="0"/>
        <w:widowControl w:val="1"/>
      </w:pPr>
      <w:bookmarkStart w:id="168" w:name="ref-selfrefine"/>
      <w:r>
        <w:t xml:space="preserve">Madaan, A., Tandon, N., Gupta, P., Hallinan, S., Gao, L., Wiegreffe, S., et al.</w:t>
      </w:r>
      <w:r>
        <w:t xml:space="preserve"> </w:t>
      </w:r>
      <w:r>
        <w:rPr>
          <w:i/>
          <w:iCs/>
        </w:rPr>
        <w:t xml:space="preserve">Self-refine: Iterative refinement with self-feedback.</w:t>
      </w:r>
      <w:r>
        <w:t xml:space="preserve"> </w:t>
      </w:r>
      <w:r>
        <w:t xml:space="preserve">NeurIPS, 2023.</w:t>
      </w:r>
      <w:r>
        <w:t xml:space="preserve"> </w:t>
      </w:r>
      <w:hyperlink r:id="rId167">
        <w:r>
          <w:rPr>
            <w:rStyle w:val="Hyperlink"/>
          </w:rPr>
          <w:t xml:space="preserve">[arXiv:2303.17651]</w:t>
        </w:r>
      </w:hyperlink>
      <w:bookmarkEnd w:id="168"/>
    </w:p>
    <w:bookmarkEnd w:id="169"/>
    <w:bookmarkStart w:id="174" w:name="sec-appendix"/>
    <w:p>
      <w:pPr>
        <w:pStyle w:val="Heading2"/>
        <w:keepNext/>
        <w:keepLines/>
        <w:widowControl w:val="1"/>
      </w:pPr>
      <w:r>
        <w:t xml:space="preserve">A</w:t>
      </w:r>
      <w:r>
        <w:t xml:space="preserve"> </w:t>
      </w:r>
      <w:r>
        <w:t xml:space="preserve">Appendix: method rationale</w:t>
      </w:r>
    </w:p>
    <w:p>
      <w:pPr>
        <w:pStyle w:val="FirstParagraph"/>
        <w:jc w:val="both"/>
        <w:keepNext w:val="0"/>
        <w:keepLines w:val="0"/>
        <w:widowControl w:val="1"/>
      </w:pPr>
      <w:r>
        <w:t xml:space="preserve">The main paper compresses the discussion of design choices into Section 9. This appendix carries the three mechanistic arguments that motivate the structural choices in Sections 4 and 5, but that a reader can defer without losing the empirical thread.</w:t>
      </w:r>
    </w:p>
    <w:bookmarkStart w:id="170" w:name="X5ce4767abb0678e0248793f97f14d0147dad1c1"/>
    <w:p>
      <w:pPr>
        <w:pStyle w:val="Heading3"/>
        <w:keepNext/>
        <w:keepLines/>
        <w:widowControl w:val="1"/>
      </w:pPr>
      <w:r>
        <w:t xml:space="preserve">A.1</w:t>
      </w:r>
      <w:r>
        <w:t xml:space="preserve"> </w:t>
      </w:r>
      <w:r>
        <w:t xml:space="preserve">Why named complaints beat scalar rewards</w:t>
      </w:r>
    </w:p>
    <w:p>
      <w:pPr>
        <w:pStyle w:val="FirstParagraph"/>
        <w:jc w:val="both"/>
        <w:keepNext w:val="0"/>
        <w:keepLines w:val="0"/>
        <w:widowControl w:val="1"/>
      </w:pPr>
      <w:r>
        <w:t xml:space="preserve">A subtle structural choice is that critic outputs are</w:t>
      </w:r>
      <w:r>
        <w:t xml:space="preserve"> </w:t>
      </w:r>
      <w:r>
        <w:rPr>
          <w:i/>
          <w:iCs/>
        </w:rPr>
        <w:t xml:space="preserve">structured</w:t>
      </w:r>
      <w:r>
        <w:t xml:space="preserve">, not scalar. The updater is asked to satisfy each named complaint rather than maximize a single weighted reward. This buys two properties: (i) locally targeted rewrites (a complaint like "every sample opens with 'Hello team,'" produces an opener-variation clause, while a scalar realism reward of</w:t>
      </w:r>
      <w:r>
        <w:t xml:space="preserve"> </w:t>
      </w:r>
      <m:oMath>
        <m:r>
          <m:t>0.83</m:t>
        </m:r>
      </m:oMath>
      <w:r>
        <w:t xml:space="preserve"> </w:t>
      </w:r>
      <w:r>
        <w:t xml:space="preserve">produces nothing actionable), and (ii) joint constraint satisfaction (the updater is forced to find a rewrite addressing multiple critics; a single scalar invites mode chasing toward the loudest one). PerFine</w:t>
      </w:r>
      <w:r>
        <w:t xml:space="preserve"> </w:t>
      </w:r>
      <w:hyperlink w:anchor="ref-perfine">
        <w:r>
          <w:rPr>
            <w:rStyle w:val="Hyperlink"/>
          </w:rPr>
          <w:t xml:space="preserve">[45]</w:t>
        </w:r>
      </w:hyperlink>
      <w:r>
        <w:t xml:space="preserve"> </w:t>
      </w:r>
      <w:r>
        <w:t xml:space="preserve">reports an analogous benefit in the LLM personalization setting, where structured four-dimensional critique outperforms scalar G-Eval-style judgments by</w:t>
      </w:r>
      <w:r>
        <w:t xml:space="preserve"> </w:t>
      </w:r>
      <m:oMath>
        <m:r>
          <m:rPr>
            <m:sty m:val="p"/>
          </m:rPr>
          <m:t>+</m:t>
        </m:r>
        <m:r>
          <m:t>7.8</m:t>
        </m:r>
      </m:oMath>
      <w:r>
        <w:t xml:space="preserve"> </w:t>
      </w:r>
      <w:r>
        <w:t xml:space="preserve">to</w:t>
      </w:r>
      <w:r>
        <w:t xml:space="preserve"> </w:t>
      </w:r>
      <m:oMath>
        <m:r>
          <m:rPr>
            <m:sty m:val="p"/>
          </m:rPr>
          <m:t>+</m:t>
        </m:r>
        <m:r>
          <m:t>13.4</m:t>
        </m:r>
      </m:oMath>
      <w:r>
        <w:t xml:space="preserve"> </w:t>
      </w:r>
      <w:r>
        <w:t xml:space="preserve">percentage points.</w:t>
      </w:r>
    </w:p>
    <w:bookmarkEnd w:id="170"/>
    <w:bookmarkStart w:id="171" w:name="Xe748b1133af094db62b8ca6fb1f1b88b4cdc5d6"/>
    <w:p>
      <w:pPr>
        <w:pStyle w:val="Heading3"/>
        <w:keepNext/>
        <w:keepLines/>
        <w:widowControl w:val="1"/>
      </w:pPr>
      <w:r>
        <w:t xml:space="preserve">A.2</w:t>
      </w:r>
      <w:r>
        <w:t xml:space="preserve"> </w:t>
      </w:r>
      <w:r>
        <w:t xml:space="preserve">Why batch-level adversaries are necessary</w:t>
      </w:r>
    </w:p>
    <w:p>
      <w:pPr>
        <w:pStyle w:val="FirstParagraph"/>
        <w:jc w:val="both"/>
        <w:keepNext w:val="0"/>
        <w:keepLines w:val="0"/>
        <w:widowControl w:val="1"/>
      </w:pPr>
      <w:r>
        <w:t xml:space="preserve">Per-sample critics are blind to collapse for the same reason a vanilla GAN's per-sample discriminator is. Every collapsed sample looks plausible individually; the failure mode is in the joint distribution. The Pack Discriminator inherits PacGAN's property: it would catch a generator emitting the same sentence</w:t>
      </w:r>
      <w:r>
        <w:t xml:space="preserve"> </w:t>
      </w:r>
      <m:oMath>
        <m:r>
          <m:t>k</m:t>
        </m:r>
      </m:oMath>
      <w:r>
        <w:t xml:space="preserve"> </w:t>
      </w:r>
      <w:r>
        <w:t xml:space="preserve">times even if each individual emission scored perfectly on the standard discriminator. Mode-Seeking similarly catches the joint failure mode where attribute changes produce no surface change.</w:t>
      </w:r>
    </w:p>
    <w:bookmarkEnd w:id="171"/>
    <w:bookmarkStart w:id="172" w:name="a.3-memory-the-immune-system-analogy"/>
    <w:p>
      <w:pPr>
        <w:pStyle w:val="Heading3"/>
        <w:keepNext/>
        <w:keepLines/>
        <w:widowControl w:val="1"/>
      </w:pPr>
      <w:r>
        <w:t xml:space="preserve">A.3</w:t>
      </w:r>
      <w:r>
        <w:t xml:space="preserve"> </w:t>
      </w:r>
      <w:r>
        <w:t xml:space="preserve">Memory: the immune-system analogy</w:t>
      </w:r>
    </w:p>
    <w:p>
      <w:pPr>
        <w:pStyle w:val="FirstParagraph"/>
        <w:jc w:val="both"/>
        <w:keepNext w:val="0"/>
        <w:keepLines w:val="0"/>
        <w:widowControl w:val="1"/>
      </w:pPr>
      <w:r>
        <w:t xml:space="preserve">The Mode Hunter's persistent banned-phrasings library is the loop's</w:t>
      </w:r>
      <w:r>
        <w:t xml:space="preserve"> </w:t>
      </w:r>
      <w:r>
        <w:rPr>
          <w:i/>
          <w:iCs/>
        </w:rPr>
        <w:t xml:space="preserve">immune memory</w:t>
      </w:r>
      <w:r>
        <w:t xml:space="preserve">. Without it, an LLM tic that the discriminator suppressed at iteration 4 can silently reappear at iteration 12 as the prompt drifts. With it, every past failure mode is carried forward. A 50-entry cap bounds prompt bloat. This generalizes the unrolled-GAN trick of looking at future discriminator state: it lets the loop see</w:t>
      </w:r>
      <w:r>
        <w:t xml:space="preserve"> </w:t>
      </w:r>
      <w:r>
        <w:rPr>
          <w:i/>
          <w:iCs/>
        </w:rPr>
        <w:t xml:space="preserve">past</w:t>
      </w:r>
      <w:r>
        <w:t xml:space="preserve"> </w:t>
      </w:r>
      <w:r>
        <w:t xml:space="preserve">failure state instead.</w:t>
      </w:r>
    </w:p>
    <w:bookmarkEnd w:id="172"/>
    <w:bookmarkStart w:id="173" w:name="sec-appendix-fullmatrix"/>
    <w:p>
      <w:pPr>
        <w:pStyle w:val="Heading3"/>
        <w:keepNext/>
        <w:keepLines/>
        <w:widowControl w:val="1"/>
      </w:pPr>
      <w:r>
        <w:t xml:space="preserve">A.4</w:t>
      </w:r>
      <w:r>
        <w:t xml:space="preserve"> </w:t>
      </w:r>
      <w:r>
        <w:t xml:space="preserve">Full critic-by-critic coverage matrix</w:t>
      </w:r>
    </w:p>
    <w:p>
      <w:pPr>
        <w:pStyle w:val="FirstParagraph"/>
        <w:jc w:val="both"/>
        <w:keepNext w:val="0"/>
        <w:keepLines w:val="0"/>
        <w:widowControl w:val="1"/>
      </w:pPr>
      <w:r>
        <w:t xml:space="preserve">Table 1 in Section 2 collapses the eight critic roles into five families for visual density. The full critic-by-critic matrix below shows each prior method against each critic role individually; SynSmith is the only entry that is ticked under every row.</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2" w:space="288" w:equalWidth="1"/>
          <w:docGrid w:linePitch="360"/>
        </w:sectPr>
      </w:pPr>
    </w:p>
    <w:p>
      <w:pPr>
        <w:pStyle w:val="TableCaption"/>
        <w:spacing w:before="240" w:after="60" w:line="240" w:lineRule="auto"/>
        <w:jc w:val="center"/>
        <w:keepNext/>
        <w:keepLines/>
        <w:widowControl w:val="1"/>
      </w:pPr>
      <w:r>
        <w:rPr>
          <w:b/>
          <w:i/>
        </w:rPr>
        <w:t>Table A1:</w:t>
      </w:r>
      <w:r>
        <w:rPr>
          <w:b w:val="0"/>
          <w:i/>
        </w:rPr>
        <w:t xml:space="preserve"> </w:t>
      </w:r>
      <w:r>
        <w:rPr>
          <w:b w:val="0"/>
          <w:i/>
        </w:rPr>
        <w:t>Full critic-by-critic coverage matrix. Same comparison as Table 1 (Section 2), expanded to one row per critic role. SynSmith is ticked under all eight roles.</w:t>
      </w:r>
    </w:p>
    <w:tbl>
      <w:tblPr>
        <w:tblStyle w:val="Table"/>
        <w:tblW w:type="pct" w:w="5000"/>
        <w:jc w:val="center"/>
        <w:tblLook w:firstRow="1" w:lastRow="0" w:firstColumn="0" w:lastColumn="0" w:noHBand="0" w:noVBand="0" w:val="0020"/>
        <w:tblCaption w:val="Table A1: Full critic-by-critic coverage matrix. Same comparison as Table 1 (Section 2), expanded to one row per critic role. SynSmith is ticked under all eight roles."/>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792"/>
        <w:gridCol w:w="792"/>
        <w:gridCol w:w="792"/>
        <w:gridCol w:w="792"/>
        <w:gridCol w:w="792"/>
        <w:gridCol w:w="792"/>
        <w:gridCol w:w="792"/>
        <w:gridCol w:w="792"/>
        <w:gridCol w:w="792"/>
        <w:gridCol w:w="792"/>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7"/>
              </w:rPr>
              <w:t xml:space="preserve">Critic role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7"/>
              </w:rPr>
              <w:t xml:space="preserve">SynSmith</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7"/>
              </w:rPr>
              <w:t xml:space="preserve">AttrPrompt</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7"/>
              </w:rPr>
              <w:t xml:space="preserve">S3</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7"/>
              </w:rPr>
              <w:t xml:space="preserve">ProGen</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7"/>
              </w:rPr>
              <w:t xml:space="preserve">TarGEN</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7"/>
              </w:rPr>
              <w:t xml:space="preserve">ARISE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7"/>
              </w:rPr>
              <w:t xml:space="preserve">PACE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7"/>
              </w:rPr>
              <w:t xml:space="preserve">Reflexion / Self-Refine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7"/>
              </w:rPr>
              <w:t xml:space="preserve">DSPy / TextGrad</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Attribute Verifier (fidelity)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implicit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self-correct on labels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rule-check</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free-form</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metric</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b/>
                <w:bCs/>
                <w:sz w:val="17"/>
              </w:rPr>
              <w:t xml:space="preserve">Realism Discriminator (dist-match)</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b/>
                <w:bCs/>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implicit via error gradient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Diversity Auditor (attribute coverage)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attribute design</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implicit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b/>
                <w:bCs/>
                <w:sz w:val="17"/>
              </w:rPr>
              <w:t xml:space="preserve">Pack Discriminator (mode collapse)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b/>
                <w:bCs/>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b/>
                <w:bCs/>
                <w:sz w:val="17"/>
              </w:rPr>
              <w:t xml:space="preserve">Mode-Seeking (gen variance / attr distance)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b/>
                <w:bCs/>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b/>
                <w:bCs/>
                <w:sz w:val="17"/>
              </w:rPr>
              <w:t xml:space="preserve">Mode Hunter (banned-pattern accumulation)</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b/>
                <w:bCs/>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Coverage Hole Finder (real-dist gaps)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implicit (small-model errors)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influence-function exemplar pick</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7"/>
              </w:rPr>
              <w:t xml:space="preserve">Prompt Updater</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7"/>
              </w:rPr>
              <w:t xml:space="preserve">– (one-shot)</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7"/>
              </w:rPr>
              <w:t xml:space="preserve">✓</w:t>
            </w:r>
          </w:p>
        </w:tc>
      </w:tr>
    </w:tbl>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1" w:space="288"/>
          <w:docGrid w:linePitch="360"/>
        </w:sectPr>
      </w:pPr>
    </w:p>
    <w:bookmarkEnd w:id="173"/>
    <w:bookmarkEnd w:id="174"/>
    <w:bookmarkStart w:id="179" w:name="sec-appendix-b"/>
    <w:p>
      <w:pPr>
        <w:pStyle w:val="Heading2"/>
        <w:keepNext/>
        <w:keepLines/>
        <w:widowControl w:val="1"/>
      </w:pPr>
      <w:r>
        <w:t xml:space="preserve">B</w:t>
      </w:r>
      <w:r>
        <w:t xml:space="preserve"> </w:t>
      </w:r>
      <w:r>
        <w:t xml:space="preserve">Appendix: examples, prompt evolution, and critic-output samples</w:t>
      </w:r>
    </w:p>
    <w:p>
      <w:pPr>
        <w:pStyle w:val="FirstParagraph"/>
        <w:jc w:val="both"/>
        <w:keepNext w:val="0"/>
        <w:keepLines w:val="0"/>
        <w:widowControl w:val="1"/>
      </w:pPr>
      <w:r>
        <w:t xml:space="preserve">This appendix grounds the empirical sections in concrete examples from the released artifacts: real vs synthetic samples from each domain, an example prompt-rewrite trajectory (iteration</w:t>
      </w:r>
      <w:r>
        <w:t xml:space="preserve"> </w:t>
      </w:r>
      <m:oMath>
        <m:r>
          <m:t>0</m:t>
        </m:r>
        <m:r>
          <m:rPr>
            <m:sty m:val="p"/>
          </m:rPr>
          <m:t>→</m:t>
        </m:r>
        <m:r>
          <m:t>2</m:t>
        </m:r>
      </m:oMath>
      <w:r>
        <w:t xml:space="preserve"> </w:t>
      </w:r>
      <w:r>
        <w:t xml:space="preserve">for SynSmith, seed</w:t>
      </w:r>
      <w:r>
        <w:t xml:space="preserve"> </w:t>
      </w:r>
      <m:oMath>
        <m:r>
          <m:t>17</m:t>
        </m:r>
      </m:oMath>
      <w:r>
        <w:t xml:space="preserve">, customer-support), Mode Hunter library growth across three iterations, and Coverage Hole exemplars that the density-ratio classifier surfaces as uncovered. Every example below is verbatim from</w:t>
      </w:r>
      <w:r>
        <w:t xml:space="preserve"> </w:t>
      </w:r>
      <w:r>
        <w:rPr>
          <w:rStyle w:val="VerbatimChar"/>
        </w:rPr>
        <w:t xml:space="preserve">experiments/main_run_002_seed17/full_attrforge/.../iter_*/</w:t>
      </w:r>
      <w:r>
        <w:t xml:space="preserve"> </w:t>
      </w:r>
      <w:r>
        <w:t xml:space="preserve">and the corresponding split files.</w:t>
      </w:r>
    </w:p>
    <w:bookmarkStart w:id="175" w:name="b.1-real-vs-synthetic-samples-per-domain"/>
    <w:p>
      <w:pPr>
        <w:pStyle w:val="Heading3"/>
        <w:keepNext/>
        <w:keepLines/>
        <w:widowControl w:val="1"/>
      </w:pPr>
      <w:r>
        <w:t xml:space="preserve">B.1</w:t>
      </w:r>
      <w:r>
        <w:t xml:space="preserve"> </w:t>
      </w:r>
      <w:r>
        <w:t xml:space="preserve">Real vs synthetic samples per domain</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2" w:space="288" w:equalWidth="1"/>
          <w:docGrid w:linePitch="360"/>
        </w:sectPr>
      </w:pPr>
    </w:p>
    <w:p>
      <w:pPr>
        <w:pStyle w:val="TableCaption"/>
        <w:spacing w:before="240" w:after="60" w:line="240" w:lineRule="auto"/>
        <w:jc w:val="center"/>
        <w:keepNext/>
        <w:keepLines/>
        <w:widowControl w:val="1"/>
      </w:pPr>
      <m:oMath>
        <m:r>
          <m:t>140</m:t>
        </m:r>
      </m:oMath>
      <w:r>
        <w:rPr>
          <w:b/>
          <w:i/>
        </w:rPr>
        <w:t>Table B1:</w:t>
      </w:r>
      <w:r>
        <w:rPr>
          <w:b w:val="0"/>
          <w:i/>
        </w:rPr>
        <w:t xml:space="preserve"> </w:t>
      </w:r>
      <w:r>
        <w:rPr>
          <w:b w:val="0"/>
          <w:i/>
        </w:rPr>
        <w:t>Real (top half) vs SynSmith synthetic (bottom half) samples for two of the three example datasets shipped with the framework, conditioned on the same intent labels. Samples truncated to  characters for display. The seven-critic loop's synthetic batch matches the real-seed register (informal, fragmented, with specific scenario detail) and reproduces the multi-issue, off-topic-mention pattern (the complaint sample mentions both a delivery problem and a tweet; the general_question sample mentions both an account charge and lunch) that the diversity auditor pushes the generator toward.</w:t>
      </w:r>
    </w:p>
    <w:tbl>
      <w:tblPr>
        <w:tblStyle w:val="Table"/>
        <w:tblW w:type="pct" w:w="5000"/>
        <w:jc w:val="center"/>
        <w:tblLook w:firstRow="1" w:lastRow="0" w:firstColumn="0" w:lastColumn="0" w:noHBand="0" w:noVBand="0" w:val="0020"/>
        <w:tblCaption w:val="Table B1: Real (top half) vs SynSmith synthetic (bottom half) samples for two of the three example datasets shipped with the framework, conditioned on the same intent labels. Samples truncated to 140 characters for display. The seven-critic loop's synthetic batch matches the real-seed register (informal, fragmented, with specific scenario detail) and reproduces the multi-issue, off-topic-mention pattern (the complaint sample mentions both a delivery problem and a tweet; the general_question sample mentions both an account charge and lunch) that the diversity auditor pushes the generator toward."/>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980"/>
        <w:gridCol w:w="1980"/>
        <w:gridCol w:w="1980"/>
        <w:gridCol w:w="198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Domain</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Class</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Source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Text</w:t>
            </w:r>
          </w:p>
        </w:tc>
      </w:tr>
      <w:tr>
        <w:tc>
          <w:tcPr>
            <w:vMerge w:val="restart"/>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customer-support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Georgia" w:hAnsi="Georgia"/>
                <w:sz w:val="19"/>
              </w:rPr>
              <w:t xml:space="preserve">complaint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real</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i paid for the upgrade but features are still locked</w:t>
            </w:r>
          </w:p>
        </w:tc>
      </w:tr>
      <w:tr>
        <w:tc>
          <w:tcPr>
            <w:gridSpan w:val="1"/>
            <w:vMerge w:val="continue"/>
          </w:tcPr>
          <w:p>
            <w:pP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Georgia" w:hAnsi="Georgia"/>
                <w:sz w:val="19"/>
              </w:rPr>
              <w:t xml:space="preserve">refund_request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real</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got the wrong size, want my money back not a store credit thanks</w:t>
            </w:r>
          </w:p>
        </w:tc>
      </w:tr>
      <w:tr>
        <w:tc>
          <w:tcPr>
            <w:gridSpan w:val="1"/>
            <w:vMerge w:val="continue"/>
          </w:tcPr>
          <w:p>
            <w:pP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Georgia" w:hAnsi="Georgia"/>
                <w:sz w:val="19"/>
              </w:rPr>
              <w:t xml:space="preserve">general_question</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real</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Are there any planned outages this weekend? Asking for our release schedule.</w:t>
            </w:r>
          </w:p>
        </w:tc>
      </w:tr>
      <w:tr>
        <w:tc>
          <w:tcPr>
            <w:gridSpan w:val="1"/>
            <w:vMerge w:val="continue"/>
          </w:tcPr>
          <w:p>
            <w:pP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Georgia" w:hAnsi="Georgia"/>
                <w:sz w:val="19"/>
              </w:rPr>
              <w:t xml:space="preserve">complaint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synth</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I've been waiting for my package forever, and I just saw a tweet saying it was delivered, but I have no idea where! Plus, my neighbor's been...</w:t>
            </w:r>
          </w:p>
        </w:tc>
      </w:tr>
      <w:tr>
        <w:tc>
          <w:tcPr>
            <w:gridSpan w:val="1"/>
            <w:vMerge w:val="continue"/>
          </w:tcPr>
          <w:p>
            <w:pP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Georgia" w:hAnsi="Georgia"/>
                <w:sz w:val="19"/>
              </w:rPr>
              <w:t xml:space="preserve">refund_request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synth</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I ordered a jacket and it arrived with a huge stain on it. I'm really upset because it was supposed to be a gift. Can I get a refund or a replacement?</w:t>
            </w:r>
          </w:p>
        </w:tc>
      </w:tr>
      <w:tr>
        <w:tc>
          <w:tcPr>
            <w:gridSpan w:val="1"/>
            <w:vMerge w:val="continue"/>
          </w:tcPr>
          <w:p>
            <w:pP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Georgia" w:hAnsi="Georgia"/>
                <w:sz w:val="19"/>
              </w:rPr>
              <w:t xml:space="preserve">general_question</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synth</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why is my account showing weird charges? also, had a sushi for lunch today.</w:t>
            </w:r>
          </w:p>
        </w:tc>
      </w:tr>
      <w:tr>
        <w:tc>
          <w:tcPr>
            <w:vMerge w:val="restart"/>
            <w:tcBorders>
              <w:left w:val="nil"/>
              <w:right w:val="nil"/>
              <w:top w:val="nil"/>
              <w:bottom w:val="nil" w:sz="4" w:color="D9E1E8"/>
            </w:tcBorders>
            <w:vAlign w:val="center"/>
          </w:tcPr>
          <w:p>
            <w:pPr>
              <w:pStyle w:val="Compact"/>
              <w:spacing w:before="0" w:after="20" w:line="240" w:lineRule="auto"/>
              <w:jc w:val="center"/>
              <w:keepNext w:val="0"/>
              <w:keepLines/>
              <w:widowControl w:val="1"/>
            </w:pPr>
            <w:r>
              <w:rPr>
                <w:rFonts w:ascii="Georgia" w:hAnsi="Georgia"/>
                <w:sz w:val="19"/>
              </w:rPr>
              <w:t xml:space="preserve">Banking77 (cards)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Georgia" w:hAnsi="Georgia"/>
                <w:sz w:val="19"/>
              </w:rPr>
              <w:t xml:space="preserve">card_swallowed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real</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An ATM swallowed my credit card!</w:t>
            </w:r>
          </w:p>
        </w:tc>
      </w:tr>
      <w:tr>
        <w:tc>
          <w:tcPr>
            <w:gridSpan w:val="1"/>
            <w:vMerge w:val="continue"/>
          </w:tcPr>
          <w:p>
            <w:pP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Georgia" w:hAnsi="Georgia"/>
                <w:sz w:val="19"/>
              </w:rPr>
              <w:t xml:space="preserve">card_payment_not_recognised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real</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I have a payment I didnt make on my account</w:t>
            </w:r>
          </w:p>
        </w:tc>
      </w:tr>
      <w:tr>
        <w:tc>
          <w:tcPr>
            <w:gridSpan w:val="1"/>
            <w:vMerge w:val="continue"/>
          </w:tcPr>
          <w:p>
            <w:pP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Georgia" w:hAnsi="Georgia"/>
                <w:sz w:val="19"/>
              </w:rPr>
              <w:t xml:space="preserve">top_up_failed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real</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I am having problems with a top-up.</w:t>
            </w:r>
          </w:p>
        </w:tc>
      </w:tr>
      <w:tr>
        <w:tc>
          <w:tcPr>
            <w:gridSpan w:val="1"/>
            <w:vMerge w:val="continue"/>
          </w:tcPr>
          <w:p>
            <w:pP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Georgia" w:hAnsi="Georgia"/>
                <w:sz w:val="19"/>
              </w:rPr>
              <w:t xml:space="preserve">card_swallowed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synth</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The ATM ate my card and won't return it. What do I do now?</w:t>
            </w:r>
          </w:p>
        </w:tc>
      </w:tr>
      <w:tr>
        <w:tc>
          <w:tcPr>
            <w:gridSpan w:val="1"/>
            <w:vMerge w:val="continue"/>
          </w:tcPr>
          <w:p>
            <w:pP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Georgia" w:hAnsi="Georgia"/>
                <w:sz w:val="19"/>
              </w:rPr>
              <w:t xml:space="preserve">card_payment_not_recognised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synth</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There's a $47 charge from a grocery store I've never been to. Need to dispute.</w:t>
            </w:r>
          </w:p>
        </w:tc>
      </w:tr>
      <w:tr>
        <w:tc>
          <w:tcPr>
            <w:gridSpan w:val="1"/>
            <w:vMerge w:val="continue"/>
          </w:tcPr>
          <w:p>
            <w:pPr/>
          </w:p>
        </w:tc>
        <w:tc>
          <w:tcPr>
            <w:tcBorders>
              <w:left w:val="nil"/>
              <w:right w:val="nil"/>
              <w:top w:val="nil"/>
              <w:bottom w:val="nil"/>
            </w:tcBorders>
            <w:vAlign w:val="center"/>
          </w:tcPr>
          <w:p>
            <w:pPr>
              <w:pStyle w:val="Compact"/>
              <w:spacing w:before="0" w:after="20" w:line="240" w:lineRule="auto"/>
              <w:jc w:val="center"/>
              <w:keepNext w:val="0"/>
              <w:keepLines/>
              <w:widowControl w:val="1"/>
            </w:pPr>
            <w:r>
              <w:rPr>
                <w:rStyle w:val="VerbatimChar"/>
                <w:rFonts w:ascii="Georgia" w:hAnsi="Georgia"/>
                <w:sz w:val="19"/>
              </w:rPr>
              <w:t xml:space="preserve">top_up_failed</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synth</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Tried to add funds, but it didn't work. What happened?</w:t>
            </w:r>
          </w:p>
        </w:tc>
      </w:tr>
    </w:tbl>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1" w:space="288"/>
          <w:docGrid w:linePitch="360"/>
        </w:sectPr>
      </w:pPr>
    </w:p>
    <w:bookmarkEnd w:id="175"/>
    <w:bookmarkStart w:id="176" w:name="b.2-prompt-evolution-iteration-0-to-2"/>
    <w:p>
      <w:pPr>
        <w:pStyle w:val="Heading3"/>
        <w:keepNext/>
        <w:keepLines/>
        <w:widowControl w:val="1"/>
      </w:pPr>
      <w:r>
        <w:t xml:space="preserve">B.2</w:t>
      </w:r>
      <w:r>
        <w:t xml:space="preserve"> </w:t>
      </w:r>
      <w:r>
        <w:t xml:space="preserve">Prompt evolution: iteration</w:t>
      </w:r>
      <w:r>
        <w:t xml:space="preserve"> </w:t>
      </w:r>
      <m:oMath>
        <m:r>
          <m:t>0</m:t>
        </m:r>
        <m:r>
          <m:rPr>
            <m:sty m:val="p"/>
          </m:rPr>
          <m:t>→</m:t>
        </m:r>
        <m:r>
          <m:t>2</m:t>
        </m:r>
      </m:oMath>
    </w:p>
    <w:p>
      <w:pPr>
        <w:pStyle w:val="FirstParagraph"/>
        <w:jc w:val="both"/>
        <w:keepNext w:val="0"/>
        <w:keepLines w:val="0"/>
        <w:widowControl w:val="1"/>
      </w:pPr>
      <w:r>
        <w:t xml:space="preserve">The generator prompt starts as a short (</w:t>
      </w:r>
      <m:oMath>
        <m:r>
          <m:t>288</m:t>
        </m:r>
      </m:oMath>
      <w:r>
        <w:t xml:space="preserve">-character) instruction and the updater rewrites it across iterations. The rewrite is grounded in the named complaints each critic emits the previous round; new clauses correspond to specific failure modes the critics flagged. Below are the verbatim iteration-</w:t>
      </w:r>
      <m:oMath>
        <m:r>
          <m:t>0</m:t>
        </m:r>
      </m:oMath>
      <w:r>
        <w:t xml:space="preserve"> </w:t>
      </w:r>
      <w:r>
        <w:t xml:space="preserve">and iteration-</w:t>
      </w:r>
      <m:oMath>
        <m:r>
          <m:t>2</m:t>
        </m:r>
      </m:oMath>
      <w:r>
        <w:t xml:space="preserve"> </w:t>
      </w:r>
      <w:r>
        <w:t xml:space="preserve">prompts for SynSmith, seed</w:t>
      </w:r>
      <w:r>
        <w:t xml:space="preserve"> </w:t>
      </w:r>
      <m:oMath>
        <m:r>
          <m:t>17</m:t>
        </m:r>
      </m:oMath>
      <w:r>
        <w:t xml:space="preserve">, customer-support.</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2" w:space="288" w:equalWidth="1"/>
          <w:docGrid w:linePitch="360"/>
        </w:sectPr>
      </w:pPr>
    </w:p>
    <w:p>
      <w:pPr>
        <w:pStyle w:val="TableCaption"/>
        <w:spacing w:before="240" w:after="60" w:line="240" w:lineRule="auto"/>
        <w:jc w:val="center"/>
        <w:keepNext/>
        <w:keepLines/>
        <w:widowControl w:val="1"/>
      </w:pPr>
      <m:oMath>
        <m:r>
          <m:t>0</m:t>
        </m:r>
      </m:oMath>
      <m:oMath>
        <m:r>
          <m:t>288</m:t>
        </m:r>
      </m:oMath>
      <m:oMath>
        <m:r>
          <m:t>2</m:t>
        </m:r>
      </m:oMath>
      <m:oMath>
        <m:r>
          <m:t>1</m:t>
        </m:r>
        <m:r>
          <m:t> </m:t>
        </m:r>
        <m:r>
          <m:t>477</m:t>
        </m:r>
      </m:oMath>
      <m:oMath>
        <m:r>
          <m:t>2</m:t>
        </m:r>
      </m:oMath>
      <w:r>
        <w:rPr>
          <w:b/>
          <w:i/>
        </w:rPr>
        <w:t>Table B2:</w:t>
      </w:r>
      <w:r>
        <w:rPr>
          <w:b w:val="0"/>
          <w:i/>
        </w:rPr>
        <w:t xml:space="preserve"> </w:t>
      </w:r>
      <w:r>
        <w:rPr>
          <w:b w:val="0"/>
          <w:i/>
        </w:rPr>
        <w:t>Prompt evolution from iteration  ( characters, the seed prompt) to iteration  ( characters). Newly-added clauses are paraphrased in the right column; the verbatim iteration- prompt is in experiments/main_run_002_seed17/full_attrforge/.../iter_002/prompt.txt. Note the "Forbidden phrasings" block inserted by the Mode Hunter and the diversity / brevity / variation clauses added in response to the Pack Discriminator and Diversity Auditor complaints.</w:t>
      </w:r>
    </w:p>
    <w:tbl>
      <w:tblPr>
        <w:tblStyle w:val="Table"/>
        <w:tblW w:type="pct" w:w="5000"/>
        <w:jc w:val="center"/>
        <w:tblLook w:firstRow="1" w:lastRow="0" w:firstColumn="0" w:lastColumn="0" w:noHBand="0" w:noVBand="0" w:val="0020"/>
        <w:tblCaption w:val="Table B2: Prompt evolution from iteration 0 (288 characters, the seed prompt) to iteration 2 (1\,477 characters). Newly-added clauses are paraphrased in the right column; the verbatim iteration-2 prompt is in experiments/main_run_002_seed17/full_attrforge/.../iter_002/prompt.txt. Note the &quot;Forbidden phrasings&quot; block inserted by the Mode Hunter and the diversity / brevity / variation clauses added in response to the Pack Discriminator and Diversity Auditor complaints."/>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2640"/>
        <w:gridCol w:w="2640"/>
        <w:gridCol w:w="264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Iter</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What the prompt becomes (paraphrased)</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Critic that drove the change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t>0</m:t>
              </m:r>
            </m:oMath>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"Generate realistic customer support messages that match the requested intent and style. Output a JSON object with sample id, text, and attribute values." (</w:t>
            </w:r>
            <m:oMath>
              <m:r>
                <m:t>288</m:t>
              </m:r>
            </m:oMath>
            <w:r>
              <w:rPr>
                <w:rFonts w:ascii="Georgia" w:hAnsi="Georgia"/>
                <w:sz w:val="19"/>
              </w:rPr>
              <w:t xml:space="preserve"> </w:t>
            </w:r>
            <w:r>
              <w:rPr>
                <w:rFonts w:ascii="Georgia" w:hAnsi="Georgia"/>
                <w:sz w:val="19"/>
              </w:rPr>
              <w:t xml:space="preserve">chars, the seed prompt)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(seed)</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t>1</m:t>
              </m:r>
            </m:oMath>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 "Include a mix of difficulty, ambiguity, and noise levels; cover account, technical, refund, and inquiry scenarios; balance formal and informal styles; capture emotional states and urgency."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Diversity Auditor (missing-modes complaint)</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t>1</m:t>
              </m:r>
            </m:oMath>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 "Avoid overly polished language and repetitive structures."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Realism Discriminator (over-polished cue)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t>2</m:t>
              </m:r>
            </m:oMath>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 "Forbidden phrasings: 'hey, i changed my emil and cant log in', 'I genuinely just want my money back', 'I hope you can help me', 'so, like, i was just wondering', 'could really use some clarity here'..."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Mode Hunter (banned-phrasings library; see B.3)</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m:oMath>
              <m:r>
                <m:t>2</m:t>
              </m:r>
            </m:oMath>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 "Encourage variety to minimize near-duplicates and enhance diversity; mix fragmented, concise, and verbose expressions."</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Pack Discriminator + Diversity Auditor</w:t>
            </w:r>
          </w:p>
        </w:tc>
      </w:tr>
    </w:tbl>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1" w:space="288"/>
          <w:docGrid w:linePitch="360"/>
        </w:sectPr>
      </w:pPr>
    </w:p>
    <w:bookmarkEnd w:id="176"/>
    <w:bookmarkStart w:id="177" w:name="Xeec2db584c5239c665ac2413dd9a708df69a875"/>
    <w:p>
      <w:pPr>
        <w:pStyle w:val="Heading3"/>
        <w:keepNext/>
        <w:keepLines/>
        <w:widowControl w:val="1"/>
      </w:pPr>
      <w:r>
        <w:t xml:space="preserve">B.3</w:t>
      </w:r>
      <w:r>
        <w:t xml:space="preserve"> </w:t>
      </w:r>
      <w:r>
        <w:t xml:space="preserve">Mode Hunter library growth across iterations</w:t>
      </w:r>
    </w:p>
    <w:p>
      <w:pPr>
        <w:pStyle w:val="FirstParagraph"/>
        <w:jc w:val="both"/>
        <w:keepNext w:val="0"/>
        <w:keepLines w:val="0"/>
        <w:widowControl w:val="1"/>
      </w:pPr>
      <w:r>
        <w:t xml:space="preserve">The Mode Hunter accumulates verified banned phrasings across iterations. Verification is deterministic: a candidate is added only if it appears in</w:t>
      </w:r>
      <w:r>
        <w:t xml:space="preserve"> </w:t>
      </w:r>
      <m:oMath>
        <m:r>
          <m:rPr>
            <m:sty m:val="p"/>
          </m:rPr>
          <m:t>≥</m:t>
        </m:r>
        <m:r>
          <m:t>1</m:t>
        </m:r>
      </m:oMath>
      <w:r>
        <w:t xml:space="preserve"> </w:t>
      </w:r>
      <w:r>
        <w:t xml:space="preserve">synthetic sample and</w:t>
      </w:r>
      <w:r>
        <w:t xml:space="preserve"> </w:t>
      </w:r>
      <m:oMath>
        <m:r>
          <m:t>0</m:t>
        </m:r>
      </m:oMath>
      <w:r>
        <w:t xml:space="preserve"> </w:t>
      </w:r>
      <w:r>
        <w:t xml:space="preserve">real samples. The library grew from</w:t>
      </w:r>
      <w:r>
        <w:t xml:space="preserve"> </w:t>
      </w:r>
      <m:oMath>
        <m:r>
          <m:t>4</m:t>
        </m:r>
      </m:oMath>
      <w:r>
        <w:t xml:space="preserve"> </w:t>
      </w:r>
      <w:r>
        <w:t xml:space="preserve">entries at iteration</w:t>
      </w:r>
      <w:r>
        <w:t xml:space="preserve"> </w:t>
      </w:r>
      <m:oMath>
        <m:r>
          <m:t>0</m:t>
        </m:r>
      </m:oMath>
      <w:r>
        <w:t xml:space="preserve"> </w:t>
      </w:r>
      <w:r>
        <w:t xml:space="preserve">to</w:t>
      </w:r>
      <w:r>
        <w:t xml:space="preserve"> </w:t>
      </w:r>
      <m:oMath>
        <m:r>
          <m:t>12</m:t>
        </m:r>
      </m:oMath>
      <w:r>
        <w:t xml:space="preserve"> </w:t>
      </w:r>
      <w:r>
        <w:t xml:space="preserve">entries at iteration</w:t>
      </w:r>
      <w:r>
        <w:t xml:space="preserve"> </w:t>
      </w:r>
      <m:oMath>
        <m:r>
          <m:t>2</m:t>
        </m:r>
      </m:oMath>
      <w:r>
        <w:t xml:space="preserve"> </w:t>
      </w:r>
      <w:r>
        <w:t xml:space="preserve">for SynSmith, seed</w:t>
      </w:r>
      <w:r>
        <w:t xml:space="preserve"> </w:t>
      </w:r>
      <m:oMath>
        <m:r>
          <m:t>17</m:t>
        </m:r>
      </m:oMath>
      <w:r>
        <w:t xml:space="preserve">.</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2" w:space="288" w:equalWidth="1"/>
          <w:docGrid w:linePitch="360"/>
        </w:sectPr>
      </w:pPr>
    </w:p>
    <w:p>
      <w:pPr>
        <w:pStyle w:val="TableCaption"/>
        <w:spacing w:before="240" w:after="60" w:line="240" w:lineRule="auto"/>
        <w:jc w:val="center"/>
        <w:keepNext/>
        <w:keepLines/>
        <w:widowControl w:val="1"/>
      </w:pPr>
      <m:oMath>
        <m:r>
          <m:t>17</m:t>
        </m:r>
      </m:oMath>
      <w:r>
        <w:rPr>
          <w:b/>
          <w:i/>
        </w:rPr>
        <w:t>Table B3:</w:t>
      </w:r>
      <w:r>
        <w:rPr>
          <w:b w:val="0"/>
          <w:i/>
        </w:rPr>
        <w:t xml:space="preserve"> </w:t>
      </w:r>
      <w:r>
        <w:rPr>
          <w:b w:val="0"/>
          <w:i/>
        </w:rPr>
        <w:t>Mode Hunter library growth across the three iterations of one SynSmith run (customer-support, seed ). Each iteration adds the four newest verified banned phrasings; older entries persist (immune-memory property, Appendix A.3). The "rationale" column is the Mode Hunter LLM's named-cue explanation, used by the updater to insert the forbidden-phrasings block of the next prompt (Table B2).</w:t>
      </w:r>
    </w:p>
    <w:tbl>
      <w:tblPr>
        <w:tblStyle w:val="Table"/>
        <w:tblW w:type="pct" w:w="5000"/>
        <w:jc w:val="center"/>
        <w:tblLook w:firstRow="1" w:lastRow="0" w:firstColumn="0" w:lastColumn="0" w:noHBand="0" w:noVBand="0" w:val="0020"/>
        <w:tblCaption w:val="Table B3: Mode Hunter library growth across the three iterations of one SynSmith run (customer-support, seed 17). Each iteration adds the four newest verified banned phrasings; older entries persist (immune-memory property, Appendix A.3). The &quot;rationale&quot; column is the Mode Hunter LLM's named-cue explanation, used by the updater to insert the forbidden-phrasings block of the next prompt (Table B2)."/>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980"/>
        <w:gridCol w:w="1980"/>
        <w:gridCol w:w="1980"/>
        <w:gridCol w:w="198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Iter</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Library</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New finding (verbatim)</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Hunter's rationale</w:t>
            </w:r>
          </w:p>
        </w:tc>
      </w:tr>
      <w:tr>
        <w:tc>
          <w:tcPr>
            <w:vMerge w:val="restart"/>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t>0</m:t>
              </m:r>
            </m:oMath>
          </w:p>
        </w:tc>
        <w:tc>
          <w:tcPr>
            <w:vMerge w:val="restart"/>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t>4</m:t>
              </m:r>
            </m:oMath>
            <w:r>
              <w:rPr>
                <w:rFonts w:ascii="Georgia" w:hAnsi="Georgia"/>
                <w:sz w:val="19"/>
              </w:rPr>
              <w:t xml:space="preserve"> </w:t>
            </w:r>
            <w:r>
              <w:rPr>
                <w:rFonts w:ascii="Georgia" w:hAnsi="Georgia"/>
                <w:sz w:val="19"/>
              </w:rPr>
              <w:t xml:space="preserve">entries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"hey, i changed my emil and cant log in. help!"</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Informal language with misspelling of "email" not seen in real batch</w:t>
            </w:r>
          </w:p>
        </w:tc>
      </w:tr>
      <w:tr>
        <w:tc>
          <w:tcPr>
            <w:gridSpan w:val="1"/>
            <w:vMerge w:val="continue"/>
          </w:tcPr>
          <w:p>
            <w:pPr/>
          </w:p>
        </w:tc>
        <w:tc>
          <w:tcPr>
            <w:gridSpan w:val="1"/>
            <w:vMerge w:val="continue"/>
          </w:tcPr>
          <w:p>
            <w:pP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"I genuinely just want my money back"</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Incomplete sentence structure + informal tone distinctive of synth</w:t>
            </w:r>
          </w:p>
        </w:tc>
      </w:tr>
      <w:tr>
        <w:tc>
          <w:tcPr>
            <w:vMerge w:val="restart"/>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t>1</m:t>
              </m:r>
            </m:oMath>
          </w:p>
        </w:tc>
        <w:tc>
          <w:tcPr>
            <w:vMerge w:val="restart"/>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t>8</m:t>
              </m:r>
            </m:oMath>
            <w:r>
              <w:rPr>
                <w:rFonts w:ascii="Georgia" w:hAnsi="Georgia"/>
                <w:sz w:val="19"/>
              </w:rPr>
              <w:t xml:space="preserve"> </w:t>
            </w:r>
            <w:r>
              <w:rPr>
                <w:rFonts w:ascii="Georgia" w:hAnsi="Georgia"/>
                <w:sz w:val="19"/>
              </w:rPr>
              <w:t xml:space="preserve">entries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"so, like, i was just wondering"</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Informal hedging phrase unique to synthetic batch</w:t>
            </w:r>
          </w:p>
        </w:tc>
      </w:tr>
      <w:tr>
        <w:tc>
          <w:tcPr>
            <w:gridSpan w:val="1"/>
            <w:vMerge w:val="continue"/>
          </w:tcPr>
          <w:p>
            <w:pPr/>
          </w:p>
        </w:tc>
        <w:tc>
          <w:tcPr>
            <w:gridSpan w:val="1"/>
            <w:vMerge w:val="continue"/>
          </w:tcPr>
          <w:p>
            <w:pP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"I feel completely ignored and it's unacceptable."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Expressed frustration not present in real batch</w:t>
            </w:r>
          </w:p>
        </w:tc>
      </w:tr>
      <w:tr>
        <w:tc>
          <w:tcPr>
            <w:vMerge w:val="restart"/>
            <w:tcBorders>
              <w:left w:val="nil"/>
              <w:right w:val="nil"/>
              <w:top w:val="nil"/>
              <w:bottom w:val="nil" w:sz="4" w:color="D9E1E8"/>
            </w:tcBorders>
            <w:vAlign w:val="center"/>
          </w:tcPr>
          <w:p>
            <w:pPr>
              <w:pStyle w:val="Compact"/>
              <w:spacing w:before="0" w:after="20" w:line="240" w:lineRule="auto"/>
              <w:jc w:val="center"/>
              <w:keepNext w:val="0"/>
              <w:keepLines/>
              <w:widowControl w:val="1"/>
            </w:pPr>
            <m:oMath>
              <m:r>
                <m:t>2</m:t>
              </m:r>
            </m:oMath>
          </w:p>
        </w:tc>
        <w:tc>
          <w:tcPr>
            <w:vMerge w:val="restart"/>
            <w:tcBorders>
              <w:left w:val="nil"/>
              <w:right w:val="nil"/>
              <w:top w:val="nil"/>
              <w:bottom w:val="nil" w:sz="4" w:color="D9E1E8"/>
            </w:tcBorders>
            <w:vAlign w:val="center"/>
          </w:tcPr>
          <w:p>
            <w:pPr>
              <w:pStyle w:val="Compact"/>
              <w:spacing w:before="0" w:after="20" w:line="240" w:lineRule="auto"/>
              <w:jc w:val="center"/>
              <w:keepNext w:val="0"/>
              <w:keepLines/>
              <w:widowControl w:val="1"/>
            </w:pPr>
            <m:oMath>
              <m:r>
                <m:t>12</m:t>
              </m:r>
            </m:oMath>
            <w:r>
              <w:rPr>
                <w:rFonts w:ascii="Georgia" w:hAnsi="Georgia"/>
                <w:sz w:val="19"/>
              </w:rPr>
              <w:t xml:space="preserve"> </w:t>
            </w:r>
            <w:r>
              <w:rPr>
                <w:rFonts w:ascii="Georgia" w:hAnsi="Georgia"/>
                <w:sz w:val="19"/>
              </w:rPr>
              <w:t xml:space="preserve">entries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"I've been waiting for my package forever"</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Specific phrasing about waiting for a package not in real batch</w:t>
            </w:r>
          </w:p>
        </w:tc>
      </w:tr>
      <w:tr>
        <w:tc>
          <w:tcPr>
            <w:gridSpan w:val="1"/>
            <w:vMerge w:val="continue"/>
          </w:tcPr>
          <w:p>
            <w:pPr/>
          </w:p>
        </w:tc>
        <w:tc>
          <w:tcPr>
            <w:gridSpan w:val="1"/>
            <w:vMerge w:val="continue"/>
          </w:tcPr>
          <w:p>
            <w:pP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"I was charged for my subscription but also received a refund"</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Unique compound subscription-and-refund framing</w:t>
            </w:r>
          </w:p>
        </w:tc>
      </w:tr>
    </w:tbl>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1" w:space="288"/>
          <w:docGrid w:linePitch="360"/>
        </w:sectPr>
      </w:pPr>
    </w:p>
    <w:bookmarkEnd w:id="177"/>
    <w:bookmarkStart w:id="178" w:name="b.4-coverage-hole-exemplars"/>
    <w:p>
      <w:pPr>
        <w:pStyle w:val="Heading3"/>
        <w:keepNext/>
        <w:keepLines/>
        <w:widowControl w:val="1"/>
      </w:pPr>
      <w:r>
        <w:t xml:space="preserve">B.4</w:t>
      </w:r>
      <w:r>
        <w:t xml:space="preserve"> </w:t>
      </w:r>
      <w:r>
        <w:t xml:space="preserve">Coverage Hole exemplars</w:t>
      </w:r>
    </w:p>
    <w:p>
      <w:pPr>
        <w:pStyle w:val="FirstParagraph"/>
        <w:jc w:val="both"/>
        <w:keepNext w:val="0"/>
        <w:keepLines w:val="0"/>
        <w:widowControl w:val="1"/>
      </w:pPr>
      <w:r>
        <w:t xml:space="preserve">The Coverage Hole Finder fits a TF-IDF + logistic regression density-ratio classifier on the union of real and synthetic samples, then surfaces the top-</w:t>
      </w:r>
      <m:oMath>
        <m:r>
          <m:t>K</m:t>
        </m:r>
      </m:oMath>
      <w:r>
        <w:t xml:space="preserve"> </w:t>
      </w:r>
      <w:r>
        <w:t xml:space="preserve">real exemplars the classifier most confidently labels real (i.e., those the synthetic batch fails to cover). These exemplars are inserted into the next generator prompt as positive few-shot anchors. Below: the top-</w:t>
      </w:r>
      <m:oMath>
        <m:r>
          <m:t>3</m:t>
        </m:r>
      </m:oMath>
      <w:r>
        <w:t xml:space="preserve"> </w:t>
      </w:r>
      <w:r>
        <w:t xml:space="preserve">Coverage Hole exemplars at iteration</w:t>
      </w:r>
      <w:r>
        <w:t xml:space="preserve"> </w:t>
      </w:r>
      <m:oMath>
        <m:r>
          <m:t>2</m:t>
        </m:r>
      </m:oMath>
      <w:r>
        <w:t xml:space="preserve"> </w:t>
      </w:r>
      <w:r>
        <w:t xml:space="preserve">for SynSmith, seed</w:t>
      </w:r>
      <w:r>
        <w:t xml:space="preserve"> </w:t>
      </w:r>
      <m:oMath>
        <m:r>
          <m:t>17</m:t>
        </m:r>
      </m:oMath>
      <w:r>
        <w:t xml:space="preserve"> </w:t>
      </w:r>
      <w:r>
        <w:t xml:space="preserve">(classifier AUROC</w:t>
      </w:r>
      <w:r>
        <w:t xml:space="preserve"> </w:t>
      </w:r>
      <m:oMath>
        <m:r>
          <m:rPr>
            <m:sty m:val="p"/>
          </m:rPr>
          <m:t>≈</m:t>
        </m:r>
        <m:r>
          <m:t>0.99</m:t>
        </m:r>
      </m:oMath>
      <w:r>
        <w:t xml:space="preserve">,</w:t>
      </w:r>
      <w:r>
        <w:t xml:space="preserve"> </w:t>
      </w:r>
      <m:oMath>
        <m:sSub>
          <m:e>
            <m:r>
              <m:t>p</m:t>
            </m:r>
          </m:e>
          <m:sub>
            <m:r>
              <m:rPr>
                <m:nor/>
                <m:sty m:val="p"/>
              </m:rPr>
              <m:t>real</m:t>
            </m:r>
          </m:sub>
        </m:sSub>
      </m:oMath>
      <w:r>
        <w:t xml:space="preserve"> </w:t>
      </w:r>
      <w:r>
        <w:t xml:space="preserve">rounded). All three are technical / API-oriented messages from the real customer-support seed set that the synthetic batch under-represented.</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2" w:space="288" w:equalWidth="1"/>
          <w:docGrid w:linePitch="360"/>
        </w:sectPr>
      </w:pPr>
    </w:p>
    <w:p>
      <w:pPr>
        <w:pStyle w:val="TableCaption"/>
        <w:spacing w:before="240" w:after="60" w:line="240" w:lineRule="auto"/>
        <w:jc w:val="center"/>
        <w:keepNext/>
        <w:keepLines/>
        <w:widowControl w:val="1"/>
      </w:pPr>
      <m:oMath>
        <m:r>
          <m:t>3</m:t>
        </m:r>
      </m:oMath>
      <m:oMath>
        <m:r>
          <m:t>2</m:t>
        </m:r>
      </m:oMath>
      <m:oMath>
        <m:r>
          <m:t>17</m:t>
        </m:r>
      </m:oMath>
      <m:oMath>
        <m:sSub>
          <m:e>
            <m:r>
              <m:t>p</m:t>
            </m:r>
          </m:e>
          <m:sub>
            <m:r>
              <m:rPr>
                <m:nor/>
                <m:sty m:val="p"/>
              </m:rPr>
              <m:t>real</m:t>
            </m:r>
          </m:sub>
        </m:sSub>
      </m:oMath>
      <m:oMath>
        <m:r>
          <m:t>1</m:t>
        </m:r>
      </m:oMath>
      <w:r>
        <w:rPr>
          <w:b/>
          <w:i/>
        </w:rPr>
        <w:t>Table B4:</w:t>
      </w:r>
      <w:r>
        <w:rPr>
          <w:b w:val="0"/>
          <w:i/>
        </w:rPr>
        <w:t xml:space="preserve"> </w:t>
      </w:r>
      <w:r>
        <w:rPr>
          <w:b w:val="0"/>
          <w:i/>
        </w:rPr>
        <w:t>Top- Coverage Hole exemplars at iteration  (SynSmith, seed , customer-support).  is the density-ratio classifier's predicted probability that the sample is real; values near  mean the sample is in a region the synthetic batch has not covered.</w:t>
      </w:r>
    </w:p>
    <w:tbl>
      <w:tblPr>
        <w:tblStyle w:val="Table"/>
        <w:tblW w:type="pct" w:w="5000"/>
        <w:jc w:val="center"/>
        <w:tblLook w:firstRow="1" w:lastRow="0" w:firstColumn="0" w:lastColumn="0" w:noHBand="0" w:noVBand="0" w:val="0020"/>
        <w:tblCaption w:val="Table B4: Top-3 Coverage Hole exemplars at iteration 2 (SynSmith, seed 17, customer-support). p_{\text{real}} is the density-ratio classifier's predicted probability that the sample is real; values near 1 mean the sample is in a region the synthetic batch has not covered."/>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3960"/>
        <w:gridCol w:w="396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m:oMath>
              <m:sSub>
                <m:e>
                  <m:r>
                    <m:t>p</m:t>
                  </m:r>
                </m:e>
                <m:sub>
                  <m:r>
                    <m:rPr>
                      <m:nor/>
                      <m:sty m:val="p"/>
                    </m:rPr>
                    <m:t>real</m:t>
                  </m:r>
                </m:sub>
              </m:sSub>
            </m:oMath>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Real sample (uncovered by synthetic batch)</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t>0.65</m:t>
              </m:r>
            </m:oMath>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"Hi team, quick one, does the API have a rate limit on the search endpoint?"</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t>0.65</m:t>
              </m:r>
            </m:oMath>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"app keeps crashing on android 14 every time i open the camera tab. tried reinstalling"</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m:oMath>
              <m:r>
                <m:t>0.64</m:t>
              </m:r>
            </m:oMath>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"is the pro plan billed monthly or yearly?"</w:t>
            </w:r>
          </w:p>
        </w:tc>
      </w:tr>
    </w:tbl>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1" w:space="288"/>
          <w:docGrid w:linePitch="360"/>
        </w:sectPr>
      </w:pPr>
    </w:p>
    <w:bookmarkEnd w:id="178"/>
    <w:bookmarkEnd w:id="179"/>
    <w:bookmarkStart w:id="185" w:name="sec-appendix-framework-reference"/>
    <w:p>
      <w:pPr>
        <w:pStyle w:val="Heading2"/>
        <w:keepNext/>
        <w:keepLines/>
        <w:widowControl w:val="1"/>
      </w:pPr>
      <w:r>
        <w:t xml:space="preserve">C</w:t>
      </w:r>
      <w:r>
        <w:t xml:space="preserve"> </w:t>
      </w:r>
      <w:r>
        <w:t xml:space="preserve">Appendix: Framework reference</w:t>
      </w:r>
    </w:p>
    <w:bookmarkStart w:id="180" w:name="Xad1e0590b4d061d45bb7715bc71d45a8c7c1d21"/>
    <w:p>
      <w:pPr>
        <w:pStyle w:val="Heading3"/>
        <w:keepNext/>
        <w:keepLines/>
        <w:widowControl w:val="1"/>
      </w:pPr>
      <w:r>
        <w:t xml:space="preserve">C.1</w:t>
      </w:r>
      <w:r>
        <w:t xml:space="preserve"> </w:t>
      </w:r>
      <w:r>
        <w:t xml:space="preserve">Pluggable critic protocol with fourteen shipped implementations</w:t>
      </w:r>
    </w:p>
    <w:p>
      <w:pPr>
        <w:pStyle w:val="FirstParagraph"/>
        <w:jc w:val="both"/>
        <w:keepNext w:val="0"/>
        <w:keepLines w:val="0"/>
        <w:widowControl w:val="1"/>
      </w:pPr>
      <w:r>
        <w:t xml:space="preserve">Every critic implements the same protocol:</w:t>
      </w:r>
      <w:r>
        <w:t xml:space="preserve"> </w:t>
      </w:r>
      <w:r>
        <w:rPr>
          <w:rStyle w:val="VerbatimChar"/>
        </w:rPr>
        <w:t xml:space="preserve">name</w:t>
      </w:r>
      <w:r>
        <w:t xml:space="preserve"> </w:t>
      </w:r>
      <w:r>
        <w:t xml:space="preserve">attribute plus</w:t>
      </w:r>
      <w:r>
        <w:t xml:space="preserve"> </w:t>
      </w:r>
      <w:r>
        <w:rPr>
          <w:rStyle w:val="VerbatimChar"/>
        </w:rPr>
        <w:t xml:space="preserve">evaluate(batch, real, attrs) → StructuredFeedback</w:t>
      </w:r>
      <w:r>
        <w:t xml:space="preserve">. The updater renders every critic's structured complaints into a single prompt-rewrite template, so a new critic plugs in without changes to the loop or the prompt-update logic. Fourteen critic implementations ship with the framework:</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2" w:space="288" w:equalWidth="1"/>
          <w:docGrid w:linePitch="360"/>
        </w:sectPr>
      </w:pPr>
    </w:p>
    <w:p>
      <w:pPr>
        <w:pStyle w:val="TableCaption"/>
        <w:spacing w:before="240" w:after="60" w:line="240" w:lineRule="auto"/>
        <w:jc w:val="center"/>
        <w:keepNext/>
        <w:keepLines/>
        <w:widowControl w:val="1"/>
      </w:pPr>
      <w:r>
        <w:rPr>
          <w:b/>
          <w:i/>
        </w:rPr>
        <w:t>Table C1:</w:t>
      </w:r>
      <w:r>
        <w:rPr>
          <w:b w:val="0"/>
          <w:i/>
        </w:rPr>
        <w:t xml:space="preserve"> </w:t>
      </w:r>
      <w:r>
        <w:rPr>
          <w:b w:val="0"/>
          <w:i/>
        </w:rPr>
        <w:t>The fourteen critic implementations shipped with the framework. The "Adding your own critic" walkthrough in CONTRIBUTING.md covers the 5-step pattern: pick a failure mode, implement the protocol, wire into the ablation table, register with the loop, write a unit test.</w:t>
      </w:r>
    </w:p>
    <w:tbl>
      <w:tblPr>
        <w:tblStyle w:val="Table"/>
        <w:tblW w:type="pct" w:w="5000"/>
        <w:jc w:val="center"/>
        <w:tblLook w:firstRow="1" w:lastRow="0" w:firstColumn="0" w:lastColumn="0" w:noHBand="0" w:noVBand="0" w:val="0020"/>
        <w:tblCaption w:val="Table C1: The fourteen critic implementations shipped with the framework. The &quot;Adding your own critic&quot; walkthrough in CONTRIBUTING.md covers the 5-step pattern: pick a failure mode, implement the protocol, wire into the ablation table, register with the loop, write a unit test."/>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980"/>
        <w:gridCol w:w="1980"/>
        <w:gridCol w:w="1980"/>
        <w:gridCol w:w="198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Role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Implementation</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Determinism</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Reference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Attribute verifier</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Georgia" w:hAnsi="Georgia"/>
                <w:sz w:val="19"/>
              </w:rPr>
              <w:t xml:space="preserve">Verifier</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LLM judge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Section 4.3</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Realism discriminator (single)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Georgia" w:hAnsi="Georgia"/>
                <w:sz w:val="19"/>
              </w:rPr>
              <w:t xml:space="preserve">RealismDiscriminator</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LLM judge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Section 4.3</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Realism discriminator (3-judge debate)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Georgia" w:hAnsi="Georgia"/>
                <w:sz w:val="19"/>
              </w:rPr>
              <w:t xml:space="preserve">RealismDebate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3 LLM judges via OpenRouter + KS-stopping</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Appendix C.4</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Diversity auditor (det. + LLM)</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Georgia" w:hAnsi="Georgia"/>
                <w:sz w:val="19"/>
              </w:rPr>
              <w:t xml:space="preserve">DiversityAuditor</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mixed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Section 4.3</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Pack discriminator (PacGAN)</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Georgia" w:hAnsi="Georgia"/>
                <w:sz w:val="19"/>
              </w:rPr>
              <w:t xml:space="preserve">PackDiscriminator</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LLM judge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Section 5.1</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Mode-seeking (MSGAN)</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Georgia" w:hAnsi="Georgia"/>
                <w:sz w:val="19"/>
              </w:rPr>
              <w:t xml:space="preserve">ModeSeeking</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deterministic</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Section 5.2</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Mode hunter (ban-list)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Georgia" w:hAnsi="Georgia"/>
                <w:sz w:val="19"/>
              </w:rPr>
              <w:t xml:space="preserve">ModeHunter</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LLM judge + det. verify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Section 5.3</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Coverage hole finder (density ratio)</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Georgia" w:hAnsi="Georgia"/>
                <w:sz w:val="19"/>
              </w:rPr>
              <w:t xml:space="preserve">CoverageHoleFinder</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deterministic</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Section 5.4</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Manifold-entropy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Georgia" w:hAnsi="Georgia"/>
                <w:sz w:val="19"/>
              </w:rPr>
              <w:t xml:space="preserve">ManifoldEntropy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deterministic</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Appendix C.2</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Downstream evaluator (sentence-transformer + LR)</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Georgia" w:hAnsi="Georgia"/>
                <w:sz w:val="19"/>
              </w:rPr>
              <w:t xml:space="preserve">DownstreamEvaluator</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deterministic</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Section 6.4</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Vendi diversity metric</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library function</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deterministic</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Section 7.2</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Scendi (Schur-complement) decomposition</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library function</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deterministic</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Section 7.2</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Distinct-</w:t>
            </w:r>
            <m:oMath>
              <m:r>
                <m:t>n</m:t>
              </m:r>
            </m:oMath>
            <w:r>
              <w:rPr>
                <w:rFonts w:ascii="Georgia" w:hAnsi="Georgia"/>
                <w:sz w:val="19"/>
              </w:rPr>
              <w:t xml:space="preserve"> </w:t>
            </w:r>
            <w:r>
              <w:rPr>
                <w:rFonts w:ascii="Georgia" w:hAnsi="Georgia"/>
                <w:sz w:val="19"/>
              </w:rPr>
              <w:t xml:space="preserve">/ self-BLEU</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library function</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deterministic</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Section 7.2</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MMD with three feature spaces</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library function</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deterministic</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Section 7.2</w:t>
            </w:r>
          </w:p>
        </w:tc>
      </w:tr>
    </w:tbl>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1" w:space="288"/>
          <w:docGrid w:linePitch="360"/>
        </w:sectPr>
      </w:pPr>
    </w:p>
    <w:bookmarkEnd w:id="180"/>
    <w:bookmarkStart w:id="181" w:name="Xeb36671ec7eb82e119d60610732b5cc4bd6977e"/>
    <w:p>
      <w:pPr>
        <w:pStyle w:val="Heading3"/>
        <w:keepNext/>
        <w:keepLines/>
        <w:widowControl w:val="1"/>
      </w:pPr>
      <w:r>
        <w:t xml:space="preserve">C.2</w:t>
      </w:r>
      <w:r>
        <w:t xml:space="preserve"> </w:t>
      </w:r>
      <w:r>
        <w:t xml:space="preserve">Named baseline configurations, ablations, and example datasets</w:t>
      </w:r>
    </w:p>
    <w:p>
      <w:pPr>
        <w:pStyle w:val="FirstParagraph"/>
        <w:jc w:val="both"/>
        <w:keepNext w:val="0"/>
        <w:keepLines w:val="0"/>
        <w:widowControl w:val="1"/>
      </w:pPr>
      <w:r>
        <w:t xml:space="preserve">Eight named baseline configurations are shipped under the</w:t>
      </w:r>
      <w:r>
        <w:t xml:space="preserve"> </w:t>
      </w:r>
      <w:r>
        <w:rPr>
          <w:rStyle w:val="VerbatimChar"/>
        </w:rPr>
        <w:t xml:space="preserve">--conditions</w:t>
      </w:r>
      <w:r>
        <w:t xml:space="preserve"> </w:t>
      </w:r>
      <w:r>
        <w:t xml:space="preserve">flag of the experiment runner: Naive, Few-shot, Self-critique, Realism-only, Diversity-only, Attribute-only, Baseline-3C (CLI flag</w:t>
      </w:r>
      <w:r>
        <w:t xml:space="preserve"> </w:t>
      </w:r>
      <w:r>
        <w:rPr>
          <w:rStyle w:val="VerbatimChar"/>
        </w:rPr>
        <w:t xml:space="preserve">--conditions full_classic</w:t>
      </w:r>
      <w:r>
        <w:t xml:space="preserve">), and SynSmith (CLI flag</w:t>
      </w:r>
      <w:r>
        <w:t xml:space="preserve"> </w:t>
      </w:r>
      <w:r>
        <w:rPr>
          <w:rStyle w:val="VerbatimChar"/>
        </w:rPr>
        <w:t xml:space="preserve">--conditions full_attrforge</w:t>
      </w:r>
      <w:r>
        <w:t xml:space="preserve">); the historical CLI prefixes are retained for backward compatibility with the released artefacts. Leave-one-out ablation conditions enumerate each adversary's contribution: Pack-OFF, Mode-Seeking-OFF, Mode-Hunter-OFF, Coverage-Hole-OFF, plus two scout-derived variants: SynSmith with the Verbalized Sampling generator (CLI flag</w:t>
      </w:r>
      <w:r>
        <w:t xml:space="preserve"> </w:t>
      </w:r>
      <w:r>
        <w:rPr>
          <w:rStyle w:val="VerbatimChar"/>
        </w:rPr>
        <w:t xml:space="preserve">--conditions full_attrforge_vs</w:t>
      </w:r>
      <w:r>
        <w:t xml:space="preserve">) and SynSmith with the multi-vendor debate realism critic (CLI flag</w:t>
      </w:r>
      <w:r>
        <w:t xml:space="preserve"> </w:t>
      </w:r>
      <w:r>
        <w:rPr>
          <w:rStyle w:val="VerbatimChar"/>
        </w:rPr>
        <w:t xml:space="preserve">--conditions full_attrforge_3judge</w:t>
      </w:r>
      <w:r>
        <w:t xml:space="preserve">). Three example datasets:</w:t>
      </w:r>
    </w:p>
    <w:p>
      <w:pPr>
        <w:pStyle w:val="Compact"/>
        <w:numPr>
          <w:ilvl w:val="0"/>
          <w:numId w:val="1004"/>
        </w:numPr>
        <w:ind w:left="360" w:hanging="259"/>
        <w:jc w:val="both"/>
        <w:keepNext w:val="0"/>
        <w:keepLines w:val="0"/>
        <w:widowControl w:val="1"/>
      </w:pPr>
      <w:r>
        <w:rPr>
          <w:b/>
          <w:bCs/>
        </w:rPr>
        <w:t xml:space="preserve">customer-support</w:t>
      </w:r>
      <w:r>
        <w:t xml:space="preserve"> </w:t>
      </w:r>
      <w:r>
        <w:t xml:space="preserve">intent classification:</w:t>
      </w:r>
      <w:r>
        <w:t xml:space="preserve"> </w:t>
      </w:r>
      <m:oMath>
        <m:r>
          <m:t>5</m:t>
        </m:r>
      </m:oMath>
      <w:r>
        <w:t xml:space="preserve"> </w:t>
      </w:r>
      <w:r>
        <w:t xml:space="preserve">classes,</w:t>
      </w:r>
      <w:r>
        <w:t xml:space="preserve"> </w:t>
      </w:r>
      <m:oMath>
        <m:r>
          <m:t>40</m:t>
        </m:r>
      </m:oMath>
      <w:r>
        <w:t xml:space="preserve"> </w:t>
      </w:r>
      <w:r>
        <w:t xml:space="preserve">real examples,</w:t>
      </w:r>
      <w:r>
        <w:t xml:space="preserve"> </w:t>
      </w:r>
      <m:oMath>
        <m:r>
          <m:t>10</m:t>
        </m:r>
      </m:oMath>
      <w:r>
        <w:t xml:space="preserve">-item held-out test.</w:t>
      </w:r>
    </w:p>
    <w:p>
      <w:pPr>
        <w:pStyle w:val="Compact"/>
        <w:numPr>
          <w:ilvl w:val="0"/>
          <w:numId w:val="1004"/>
        </w:numPr>
        <w:ind w:left="360" w:hanging="259"/>
        <w:jc w:val="both"/>
        <w:keepNext w:val="0"/>
        <w:keepLines w:val="0"/>
        <w:widowControl w:val="1"/>
      </w:pPr>
      <w:r>
        <w:rPr>
          <w:b/>
          <w:bCs/>
        </w:rPr>
        <w:t xml:space="preserve">Banking77 cards-and-payments</w:t>
      </w:r>
      <w:r>
        <w:t xml:space="preserve">:</w:t>
      </w:r>
      <w:r>
        <w:t xml:space="preserve"> </w:t>
      </w:r>
      <m:oMath>
        <m:r>
          <m:t>10</m:t>
        </m:r>
      </m:oMath>
      <w:r>
        <w:t xml:space="preserve"> </w:t>
      </w:r>
      <w:r>
        <w:t xml:space="preserve">classes drawn from the Banking77 benchmark</w:t>
      </w:r>
      <w:r>
        <w:t xml:space="preserve"> </w:t>
      </w:r>
      <w:hyperlink w:anchor="ref-banking77">
        <w:r>
          <w:rPr>
            <w:rStyle w:val="Hyperlink"/>
          </w:rPr>
          <w:t xml:space="preserve">[41]</w:t>
        </w:r>
      </w:hyperlink>
      <w:r>
        <w:t xml:space="preserve">,</w:t>
      </w:r>
      <w:r>
        <w:t xml:space="preserve"> </w:t>
      </w:r>
      <m:oMath>
        <m:r>
          <m:t>300</m:t>
        </m:r>
      </m:oMath>
      <w:r>
        <w:t xml:space="preserve"> </w:t>
      </w:r>
      <w:r>
        <w:t xml:space="preserve">real-train,</w:t>
      </w:r>
      <w:r>
        <w:t xml:space="preserve"> </w:t>
      </w:r>
      <m:oMath>
        <m:r>
          <m:t>400</m:t>
        </m:r>
      </m:oMath>
      <w:r>
        <w:t xml:space="preserve"> </w:t>
      </w:r>
      <w:r>
        <w:t xml:space="preserve">held-out test.</w:t>
      </w:r>
    </w:p>
    <w:p>
      <w:pPr>
        <w:pStyle w:val="Compact"/>
        <w:numPr>
          <w:ilvl w:val="0"/>
          <w:numId w:val="1004"/>
        </w:numPr>
        <w:ind w:left="360" w:hanging="259"/>
        <w:jc w:val="both"/>
        <w:keepNext w:val="0"/>
        <w:keepLines w:val="0"/>
        <w:widowControl w:val="1"/>
      </w:pPr>
      <w:r>
        <w:rPr>
          <w:b/>
          <w:bCs/>
        </w:rPr>
        <w:t xml:space="preserve">TREC question-type</w:t>
      </w:r>
      <w:r>
        <w:t xml:space="preserve">:</w:t>
      </w:r>
      <w:r>
        <w:t xml:space="preserve"> </w:t>
      </w:r>
      <m:oMath>
        <m:r>
          <m:t>6</m:t>
        </m:r>
      </m:oMath>
      <w:r>
        <w:t xml:space="preserve"> </w:t>
      </w:r>
      <w:r>
        <w:t xml:space="preserve">coarse-grained question-type classes,</w:t>
      </w:r>
      <w:r>
        <w:t xml:space="preserve"> </w:t>
      </w:r>
      <m:oMath>
        <m:r>
          <m:t>60</m:t>
        </m:r>
      </m:oMath>
      <w:r>
        <w:t xml:space="preserve"> </w:t>
      </w:r>
      <w:r>
        <w:t xml:space="preserve">real seed,</w:t>
      </w:r>
      <w:r>
        <w:t xml:space="preserve"> </w:t>
      </w:r>
      <m:oMath>
        <m:r>
          <m:t>89</m:t>
        </m:r>
      </m:oMath>
      <w:r>
        <w:t xml:space="preserve"> </w:t>
      </w:r>
      <w:r>
        <w:t xml:space="preserve">held-out test.</w:t>
      </w:r>
    </w:p>
    <w:p>
      <w:pPr>
        <w:pStyle w:val="FirstParagraph"/>
        <w:jc w:val="both"/>
        <w:keepNext w:val="0"/>
        <w:keepLines w:val="0"/>
        <w:widowControl w:val="1"/>
      </w:pPr>
      <w:r>
        <w:t xml:space="preserve">Adding a fourth dataset is a three-file addition:</w:t>
      </w:r>
      <w:r>
        <w:t xml:space="preserve"> </w:t>
      </w:r>
      <w:r>
        <w:rPr>
          <w:rStyle w:val="VerbatimChar"/>
        </w:rPr>
        <w:t xml:space="preserve">examples/&lt;dataset&gt;/{schema.yaml, config.yaml, real_examples.jsonl}</w:t>
      </w:r>
      <w:r>
        <w:t xml:space="preserve"> </w:t>
      </w:r>
      <w:r>
        <w:t xml:space="preserve">matching the layout of the three above.</w:t>
      </w:r>
    </w:p>
    <w:bookmarkEnd w:id="181"/>
    <w:bookmarkStart w:id="182" w:name="Xaf821851ab3167287fd5287c50265555d7cdf00"/>
    <w:p>
      <w:pPr>
        <w:pStyle w:val="Heading3"/>
        <w:keepNext/>
        <w:keepLines/>
        <w:widowControl w:val="1"/>
      </w:pPr>
      <w:r>
        <w:t xml:space="preserve">C.3</w:t>
      </w:r>
      <w:r>
        <w:t xml:space="preserve"> </w:t>
      </w:r>
      <w:r>
        <w:t xml:space="preserve">Cross-condition ensemble as a public API</w:t>
      </w:r>
    </w:p>
    <w:p>
      <w:pPr>
        <w:pStyle w:val="FirstParagraph"/>
        <w:jc w:val="both"/>
        <w:keepNext w:val="0"/>
        <w:keepLines w:val="0"/>
        <w:widowControl w:val="1"/>
      </w:pPr>
      <w:r>
        <w:t xml:space="preserve">The cross-condition classifier ensembling of Section 7.3 is exposed as a typed public API:</w:t>
      </w:r>
    </w:p>
    <w:p>
      <w:pPr>
        <w:pStyle w:val="BodyText"/>
        <w:jc w:val="both"/>
        <w:keepNext w:val="0"/>
        <w:keepLines w:val="0"/>
        <w:widowControl w:val="1"/>
      </w:pPr>
      <w:r>
        <w:rPr>
          <w:rStyle w:val="VerbatimChar"/>
        </w:rPr>
        <w:t xml:space="preserve">from synsmith.eval import CrossConditionEnsemble, CrossConditionEnsembleConfig</w:t>
      </w:r>
      <w:r>
        <w:br/>
      </w:r>
      <w:r>
        <w:br/>
      </w:r>
      <w:r>
        <w:rPr>
          <w:rStyle w:val="VerbatimChar"/>
        </w:rPr>
        <w:t xml:space="preserve">ens = CrossConditionEnsemble(CrossConditionEnsembleConfig(backend="sentence-transformer"))</w:t>
      </w:r>
      <w:r>
        <w:br/>
      </w:r>
      <w:r>
        <w:rPr>
          <w:rStyle w:val="VerbatimChar"/>
        </w:rPr>
        <w:t xml:space="preserve">ens.fit_per_condition(</w:t>
      </w:r>
      <w:r>
        <w:br/>
      </w:r>
      <w:r>
        <w:rPr>
          <w:rStyle w:val="VerbatimChar"/>
        </w:rPr>
        <w:t xml:space="preserve">    condition_batches={"baseline": [...], "method_v2": [...]},</w:t>
      </w:r>
      <w:r>
        <w:br/>
      </w:r>
      <w:r>
        <w:rPr>
          <w:rStyle w:val="VerbatimChar"/>
        </w:rPr>
        <w:t xml:space="preserve">    real_train=real_train_samples,</w:t>
      </w:r>
      <w:r>
        <w:br/>
      </w:r>
      <w:r>
        <w:rPr>
          <w:rStyle w:val="VerbatimChar"/>
        </w:rPr>
        <w:t xml:space="preserve">    real_test=real_test_samples,</w:t>
      </w:r>
      <w:r>
        <w:br/>
      </w:r>
      <w:r>
        <w:rPr>
          <w:rStyle w:val="VerbatimChar"/>
        </w:rPr>
        <w:t xml:space="preserve">)</w:t>
      </w:r>
      <w:r>
        <w:br/>
      </w:r>
      <w:r>
        <w:rPr>
          <w:rStyle w:val="VerbatimChar"/>
        </w:rPr>
        <w:t xml:space="preserve">pair_result = ens.ensemble_pair("baseline", "method_v2")</w:t>
      </w:r>
      <w:r>
        <w:br/>
      </w:r>
      <w:r>
        <w:rPr>
          <w:rStyle w:val="VerbatimChar"/>
        </w:rPr>
        <w:t xml:space="preserve">print(pair_result.macro_f1, pair_result.worst_class_f1)</w:t>
      </w:r>
    </w:p>
    <w:p>
      <w:pPr>
        <w:pStyle w:val="FirstParagraph"/>
        <w:jc w:val="both"/>
        <w:keepNext w:val="0"/>
        <w:keepLines w:val="0"/>
        <w:widowControl w:val="1"/>
      </w:pPr>
      <w:r>
        <w:rPr>
          <w:rStyle w:val="VerbatimChar"/>
        </w:rPr>
        <w:t xml:space="preserve">EnsembleResult</w:t>
      </w:r>
      <w:r>
        <w:t xml:space="preserve"> </w:t>
      </w:r>
      <w:r>
        <w:t xml:space="preserve">is a typed Pydantic model carrying macro, worst-class, per-class F1, confusion matrix, and the underlying probability matrices so any downstream analysis (paired-t, bootstrap CI, leave-one-out) is one numpy call away.</w:t>
      </w:r>
    </w:p>
    <w:bookmarkEnd w:id="182"/>
    <w:bookmarkStart w:id="183" w:name="c.4-backends-batching-multi-vendor"/>
    <w:p>
      <w:pPr>
        <w:pStyle w:val="Heading3"/>
        <w:keepNext/>
        <w:keepLines/>
        <w:widowControl w:val="1"/>
      </w:pPr>
      <w:r>
        <w:t xml:space="preserve">C.4</w:t>
      </w:r>
      <w:r>
        <w:t xml:space="preserve"> </w:t>
      </w:r>
      <w:r>
        <w:t xml:space="preserve">Backends, batching, multi-vendor</w:t>
      </w:r>
    </w:p>
    <w:p>
      <w:pPr>
        <w:pStyle w:val="FirstParagraph"/>
        <w:jc w:val="both"/>
        <w:keepNext w:val="0"/>
        <w:keepLines w:val="0"/>
        <w:widowControl w:val="1"/>
      </w:pPr>
      <w:r>
        <w:t xml:space="preserve">LLM calls go through a backend-agnostic client. OpenAI, Anthropic, and an offline echo backend ship in-tree; the offline backend lets the entire pipeline (including the test suite) run with no API key.</w:t>
      </w:r>
      <w:r>
        <w:t xml:space="preserve"> </w:t>
      </w:r>
      <w:r>
        <w:rPr>
          <w:b/>
          <w:bCs/>
        </w:rPr>
        <w:t xml:space="preserve">OpenAI Batch API</w:t>
      </w:r>
      <w:r>
        <w:t xml:space="preserve"> </w:t>
      </w:r>
      <w:r>
        <w:t xml:space="preserve">is wired through</w:t>
      </w:r>
      <w:r>
        <w:t xml:space="preserve"> </w:t>
      </w:r>
      <w:r>
        <w:rPr>
          <w:rStyle w:val="VerbatimChar"/>
        </w:rPr>
        <w:t xml:space="preserve">synsmith.llm_batch.BatchClient</w:t>
      </w:r>
      <w:r>
        <w:t xml:space="preserve">: a paper-scale sweep submits as one batch.jsonl, completes within a 24-hour SLA, and costs about</w:t>
      </w:r>
      <w:r>
        <w:t xml:space="preserve"> </w:t>
      </w:r>
      <m:oMath>
        <m:r>
          <m:t>50</m:t>
        </m:r>
        <m:r>
          <m:rPr>
            <m:sty m:val="p"/>
          </m:rPr>
          <m:t>%</m:t>
        </m:r>
      </m:oMath>
      <w:r>
        <w:t xml:space="preserve"> </w:t>
      </w:r>
      <w:r>
        <w:t xml:space="preserve">of the real-time API equivalent.</w:t>
      </w:r>
      <w:r>
        <w:t xml:space="preserve"> </w:t>
      </w:r>
      <w:r>
        <w:rPr>
          <w:b/>
          <w:bCs/>
        </w:rPr>
        <w:t xml:space="preserve">Multi-vendor LLM-as-judge</w:t>
      </w:r>
      <w:r>
        <w:t xml:space="preserve"> </w:t>
      </w:r>
      <w:r>
        <w:t xml:space="preserve">is exposed via OpenRouter: the SynSmith-3judge variant (CLI flag</w:t>
      </w:r>
      <w:r>
        <w:t xml:space="preserve"> </w:t>
      </w:r>
      <w:r>
        <w:rPr>
          <w:rStyle w:val="VerbatimChar"/>
        </w:rPr>
        <w:t xml:space="preserve">--conditions full_attrforge_3judge</w:t>
      </w:r>
      <w:r>
        <w:t xml:space="preserve">) swaps the single-judge realism discriminator for a three-judge debate (</w:t>
      </w:r>
      <w:r>
        <w:rPr>
          <w:rStyle w:val="VerbatimChar"/>
        </w:rPr>
        <w:t xml:space="preserve">openai/gpt-4o-mini</w:t>
      </w:r>
      <w:r>
        <w:t xml:space="preserve"> </w:t>
      </w:r>
      <w:r>
        <w:t xml:space="preserve">+</w:t>
      </w:r>
      <w:r>
        <w:t xml:space="preserve"> </w:t>
      </w:r>
      <w:r>
        <w:rPr>
          <w:rStyle w:val="VerbatimChar"/>
        </w:rPr>
        <w:t xml:space="preserve">anthropic/claude-3-haiku</w:t>
      </w:r>
      <w:r>
        <w:t xml:space="preserve"> </w:t>
      </w:r>
      <w:r>
        <w:t xml:space="preserve">+</w:t>
      </w:r>
      <w:r>
        <w:t xml:space="preserve"> </w:t>
      </w:r>
      <w:r>
        <w:rPr>
          <w:rStyle w:val="VerbatimChar"/>
        </w:rPr>
        <w:t xml:space="preserve">google/gemini-flash-1.5</w:t>
      </w:r>
      <w:r>
        <w:t xml:space="preserve">) with Kolmogorov-Smirnov adaptive stopping, addressing the single-vendor judge-bias confound named in Section 9.2.</w:t>
      </w:r>
    </w:p>
    <w:bookmarkEnd w:id="183"/>
    <w:bookmarkStart w:id="184" w:name="c.5-testing-contribution-and-licensing"/>
    <w:p>
      <w:pPr>
        <w:pStyle w:val="Heading3"/>
        <w:keepNext/>
        <w:keepLines/>
        <w:widowControl w:val="1"/>
      </w:pPr>
      <w:r>
        <w:t xml:space="preserve">C.5</w:t>
      </w:r>
      <w:r>
        <w:t xml:space="preserve"> </w:t>
      </w:r>
      <w:r>
        <w:t xml:space="preserve">Testing, contribution, and licensing</w:t>
      </w:r>
    </w:p>
    <w:p>
      <w:pPr>
        <w:pStyle w:val="FirstParagraph"/>
        <w:jc w:val="both"/>
        <w:keepNext w:val="0"/>
        <w:keepLines w:val="0"/>
        <w:widowControl w:val="1"/>
      </w:pPr>
      <w:r>
        <w:t xml:space="preserve">The test suite has</w:t>
      </w:r>
      <w:r>
        <w:t xml:space="preserve"> </w:t>
      </w:r>
      <m:oMath>
        <m:r>
          <m:t>45</m:t>
        </m:r>
      </m:oMath>
      <w:r>
        <w:t xml:space="preserve"> </w:t>
      </w:r>
      <w:r>
        <w:t xml:space="preserve">tests covering the loop end-to-end (with the offline backend, no API key required), every critic's deterministic helpers, the cross-condition ensemble API surface, the OpenAI Batch harness (mock-based), and the 3-judge debate KS-stopping logic. CI runs on every commit. The</w:t>
      </w:r>
      <w:r>
        <w:t xml:space="preserve"> </w:t>
      </w:r>
      <w:r>
        <w:rPr>
          <w:rStyle w:val="VerbatimChar"/>
        </w:rPr>
        <w:t xml:space="preserve">CONTRIBUTING.md</w:t>
      </w:r>
      <w:r>
        <w:t xml:space="preserve"> </w:t>
      </w:r>
      <w:r>
        <w:t xml:space="preserve">walkthrough covers the canonical "add a new critic" pattern. The MIT-licensed repository is at</w:t>
      </w:r>
      <w:r>
        <w:t xml:space="preserve"> </w:t>
      </w:r>
      <w:hyperlink r:id="rId10">
        <w:r>
          <w:rPr>
            <w:rStyle w:val="Hyperlink"/>
          </w:rPr>
          <w:t xml:space="preserve">github.com/ApartsinProjects/SynSmith</w:t>
        </w:r>
      </w:hyperlink>
      <w:r>
        <w:t xml:space="preserve">.</w:t>
      </w:r>
    </w:p>
    <w:bookmarkEnd w:id="184"/>
    <w:bookmarkEnd w:id="185"/>
    <w:bookmarkStart w:id="192" w:name="sec-appendix-augmentation"/>
    <w:p>
      <w:pPr>
        <w:pStyle w:val="Heading2"/>
        <w:keepNext/>
        <w:keepLines/>
        <w:widowControl w:val="1"/>
      </w:pPr>
      <w:r>
        <w:t xml:space="preserve">D</w:t>
      </w:r>
      <w:r>
        <w:t xml:space="preserve"> </w:t>
      </w:r>
      <w:r>
        <w:t xml:space="preserve">Appendix: Augmentation regime details (customer-support)</w:t>
      </w:r>
    </w:p>
    <w:p>
      <w:pPr>
        <w:pStyle w:val="FirstParagraph"/>
        <w:jc w:val="both"/>
        <w:keepNext w:val="0"/>
        <w:keepLines w:val="0"/>
        <w:widowControl w:val="1"/>
      </w:pPr>
      <w:r>
        <w:t xml:space="preserve">The realistic deployment of LLM-generated synthetic data is augmentation of a small real labeled set. We measure this directly: we stratify-subsample the real-train pool to sizes</w:t>
      </w:r>
      <w:r>
        <w:t xml:space="preserve"> </w:t>
      </w:r>
      <m:oMath>
        <m:r>
          <m:rPr>
            <m:sty m:val="p"/>
          </m:rPr>
          <m:t>{</m:t>
        </m:r>
        <m:r>
          <m:t>5</m:t>
        </m:r>
        <m:r>
          <m:rPr>
            <m:sty m:val="p"/>
          </m:rPr>
          <m:t>,</m:t>
        </m:r>
        <m:r>
          <m:t>10</m:t>
        </m:r>
        <m:r>
          <m:rPr>
            <m:sty m:val="p"/>
          </m:rPr>
          <m:t>,</m:t>
        </m:r>
        <m:r>
          <m:t>15</m:t>
        </m:r>
        <m:r>
          <m:rPr>
            <m:sty m:val="p"/>
          </m:rPr>
          <m:t>,</m:t>
        </m:r>
        <m:r>
          <m:t>20</m:t>
        </m:r>
        <m:r>
          <m:rPr>
            <m:sty m:val="p"/>
          </m:rPr>
          <m:t>,</m:t>
        </m:r>
        <m:r>
          <m:t>25</m:t>
        </m:r>
        <m:r>
          <m:rPr>
            <m:sty m:val="p"/>
          </m:rPr>
          <m:t>,</m:t>
        </m:r>
        <m:r>
          <m:t>30</m:t>
        </m:r>
        <m:r>
          <m:rPr>
            <m:sty m:val="p"/>
          </m:rPr>
          <m:t>}</m:t>
        </m:r>
      </m:oMath>
      <w:r>
        <w:t xml:space="preserve">, concatenate each subset with the synthetic batch from each condition, train a sentence-transformer</w:t>
      </w:r>
      <w:r>
        <w:t xml:space="preserve"> </w:t>
      </w:r>
      <m:oMath>
        <m:r>
          <m:rPr>
            <m:sty m:val="p"/>
          </m:rPr>
          <m:t>+</m:t>
        </m:r>
      </m:oMath>
      <w:r>
        <w:t xml:space="preserve"> </w:t>
      </w:r>
      <w:r>
        <w:t xml:space="preserve">logistic regression classifier on the union, and test on the</w:t>
      </w:r>
      <w:r>
        <w:t xml:space="preserve"> </w:t>
      </w:r>
      <m:oMath>
        <m:r>
          <m:t>10</m:t>
        </m:r>
      </m:oMath>
      <w:r>
        <w:t xml:space="preserve">-item held-out real set. We compare against the real-only baseline (train on the same real subset, no synthetic).</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2" w:space="288" w:equalWidth="1"/>
          <w:docGrid w:linePitch="360"/>
        </w:sectPr>
      </w:pPr>
    </w:p>
    <w:p>
      <w:pPr>
        <w:pStyle w:val="BodyText"/>
        <w:jc w:val="center"/>
        <w:keepNext/>
        <w:keepLines/>
        <w:widowControl w:val="1"/>
      </w:pPr>
      <w:r>
        <w:drawing>
          <wp:inline>
            <wp:extent cx="5943600" cy="3268980"/>
            <wp:effectExtent b="0" l="0" r="0" t="0"/>
            <wp:docPr descr="Augmentation downstream F1 vs real-train size" title="" id="187" name="Picture"/>
            <a:graphic>
              <a:graphicData uri="http://schemas.openxmlformats.org/drawingml/2006/picture">
                <pic:pic>
                  <pic:nvPicPr>
                    <pic:cNvPr descr="figures/main_run_002_scarce_real.png" id="188" name="Picture"/>
                    <pic:cNvPicPr>
                      <a:picLocks noChangeArrowheads="1" noChangeAspect="1"/>
                    </pic:cNvPicPr>
                  </pic:nvPicPr>
                  <pic:blipFill>
                    <a:blip r:embed="rId186"/>
                    <a:stretch>
                      <a:fillRect/>
                    </a:stretch>
                  </pic:blipFill>
                  <pic:spPr bwMode="auto">
                    <a:xfrm>
                      <a:off x="0" y="0"/>
                      <a:ext cx="5943600" cy="3268980"/>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m:oMath>
        <m:r>
          <m:rPr>
            <m:sty m:val="p"/>
          </m:rPr>
          <m:t>+</m:t>
        </m:r>
      </m:oMath>
      <m:oMath>
        <m:r>
          <m:rPr>
            <m:sty m:val="p"/>
          </m:rPr>
          <m:t>±</m:t>
        </m:r>
      </m:oMath>
      <m:oMath>
        <m:r>
          <m:t>10</m:t>
        </m:r>
      </m:oMath>
      <m:oMath>
        <m:r>
          <m:t>n</m:t>
        </m:r>
        <m:r>
          <m:rPr>
            <m:sty m:val="p"/>
          </m:rPr>
          <m:t>=</m:t>
        </m:r>
        <m:r>
          <m:t>5</m:t>
        </m:r>
      </m:oMath>
      <m:oMath>
        <m:r>
          <m:rPr>
            <m:sty m:val="p"/>
          </m:rPr>
          <m:t>+</m:t>
        </m:r>
        <m:r>
          <m:t>0.05</m:t>
        </m:r>
      </m:oMath>
      <m:oMath>
        <m:r>
          <m:rPr>
            <m:sty m:val="p"/>
          </m:rPr>
          <m:t>+</m:t>
        </m:r>
        <m:r>
          <m:t>0.13</m:t>
        </m:r>
      </m:oMath>
      <m:oMath>
        <m:r>
          <m:rPr>
            <m:sty m:val="p"/>
          </m:rPr>
          <m:t>+</m:t>
        </m:r>
        <m:r>
          <m:t>0.127</m:t>
        </m:r>
      </m:oMath>
      <m:oMath>
        <m:r>
          <m:t>0.759</m:t>
        </m:r>
        <m:r>
          <m:rPr>
            <m:sty m:val="p"/>
          </m:rPr>
          <m:t>±</m:t>
        </m:r>
        <m:r>
          <m:t>0.065</m:t>
        </m:r>
      </m:oMath>
      <m:oMath>
        <m:r>
          <m:t>0.632</m:t>
        </m:r>
        <m:r>
          <m:rPr>
            <m:sty m:val="p"/>
          </m:rPr>
          <m:t>±</m:t>
        </m:r>
        <m:r>
          <m:t>0.139</m:t>
        </m:r>
      </m:oMath>
      <m:oMath>
        <m:r>
          <m:t>n</m:t>
        </m:r>
        <m:r>
          <m:rPr>
            <m:sty m:val="p"/>
          </m:rPr>
          <m:t>≥</m:t>
        </m:r>
        <m:r>
          <m:t>20</m:t>
        </m:r>
      </m:oMath>
      <m:oMath>
        <m:r>
          <m:t>0.893</m:t>
        </m:r>
      </m:oMath>
      <m:oMath>
        <m:r>
          <m:t>n</m:t>
        </m:r>
        <m:r>
          <m:rPr>
            <m:sty m:val="p"/>
          </m:rPr>
          <m:t>=</m:t>
        </m:r>
        <m:r>
          <m:t>30</m:t>
        </m:r>
      </m:oMath>
      <w:r>
        <w:rPr>
          <w:b/>
          <w:i/>
        </w:rPr>
        <w:t>Figure D1:</w:t>
      </w:r>
      <w:r>
        <w:rPr>
          <w:b w:val="0"/>
          <w:i/>
        </w:rPr>
        <w:t xml:space="preserve"> </w:t>
      </w:r>
      <w:r>
        <w:rPr>
          <w:b w:val="0"/>
          <w:i/>
        </w:rPr>
        <w:t>Augmentation downstream macro F1 (sentence-transformer  logistic regression) as a function of real-train size on customer-support intent classification, comparing each iterated condition against the no-augmentation real-only baseline (dashed black). Mean  std across  seeds. At very-scarce real (), every iterated synthetic condition lifts macro F1 over real-only by  to , with Baseline-3C giving the largest lift (, F1  vs real-only ). At , the sentence-transformer classifier saturates near the real-only ceiling ( at ), and every iterated condition lands within sampling noise of that ceiling.</w:t>
      </w:r>
    </w:p>
    <w:p>
      <w:pPr>
        <w:pStyle w:val="TableCaption"/>
        <w:spacing w:before="240" w:after="60" w:line="240" w:lineRule="auto"/>
        <w:jc w:val="center"/>
        <w:keepNext/>
        <w:keepLines/>
        <w:widowControl w:val="1"/>
      </w:pPr>
      <m:oMath>
        <m:r>
          <m:rPr>
            <m:sty m:val="p"/>
          </m:rPr>
          <m:t>±</m:t>
        </m:r>
      </m:oMath>
      <m:oMath>
        <m:r>
          <m:t>10</m:t>
        </m:r>
      </m:oMath>
      <m:oMath>
        <m:r>
          <m:t>n</m:t>
        </m:r>
      </m:oMath>
      <w:r>
        <w:rPr>
          <w:b/>
          <w:i/>
        </w:rPr>
        <w:t>Table D1:</w:t>
      </w:r>
      <w:r>
        <w:rPr>
          <w:b w:val="0"/>
          <w:i/>
        </w:rPr>
        <w:t xml:space="preserve"> </w:t>
      </w:r>
      <w:r>
        <w:rPr>
          <w:b w:val="0"/>
          <w:i/>
        </w:rPr>
        <w:t>Augmentation downstream macro F1 on customer-support, under varying real-train sizes. Mean  std across  seeds. Bold cells mark conditions whose mean lifts the real-only baseline by at least the real-only standard deviation at that .</w:t>
      </w:r>
    </w:p>
    <w:tbl>
      <w:tblPr>
        <w:tblStyle w:val="Table"/>
        <w:tblW w:type="pct" w:w="5000"/>
        <w:jc w:val="center"/>
        <w:tblLook w:firstRow="1" w:lastRow="0" w:firstColumn="0" w:lastColumn="0" w:noHBand="0" w:noVBand="0" w:val="0020"/>
        <w:tblCaption w:val="Table D1: Augmentation downstream macro F1 on customer-support, under varying real-train sizes. Mean \pm std across 10 seeds. Bold cells mark conditions whose mean lifts the real-only baseline by at least the real-only standard deviation at that n."/>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990"/>
        <w:gridCol w:w="990"/>
        <w:gridCol w:w="990"/>
        <w:gridCol w:w="990"/>
        <w:gridCol w:w="990"/>
        <w:gridCol w:w="990"/>
        <w:gridCol w:w="990"/>
        <w:gridCol w:w="99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m:oMath>
              <m:sSub>
                <m:e>
                  <m:r>
                    <m:t>n</m:t>
                  </m:r>
                </m:e>
                <m:sub>
                  <m:r>
                    <m:rPr>
                      <m:nor/>
                      <m:sty m:val="p"/>
                    </m:rPr>
                    <m:t>real</m:t>
                  </m:r>
                </m:sub>
              </m:sSub>
            </m:oMath>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8"/>
              </w:rPr>
              <w:t xml:space="preserve">real-only</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8"/>
              </w:rPr>
              <w:t xml:space="preserve">few_shot</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8"/>
              </w:rPr>
              <w:t xml:space="preserve">self_critique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8"/>
              </w:rPr>
              <w:t xml:space="preserve">realism_only</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8"/>
              </w:rPr>
              <w:t xml:space="preserve">diversity_only</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8"/>
              </w:rPr>
              <w:t xml:space="preserve">Baseline-3C</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8"/>
              </w:rPr>
              <w:t xml:space="preserve">SynSmith</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8"/>
              </w:rPr>
              <w:t xml:space="preserve">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8"/>
              </w:rPr>
              <w:t xml:space="preserve">0.632</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0.139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b/>
                <w:bCs/>
                <w:sz w:val="18"/>
              </w:rPr>
              <w:t xml:space="preserve">0.705</w:t>
            </w:r>
            <w:r>
              <w:rPr>
                <w:rFonts w:ascii="Georgia" w:hAnsi="Georgia"/>
                <w:b/>
                <w:bCs/>
                <w:sz w:val="18"/>
              </w:rPr>
              <w:t xml:space="preserve"> </w:t>
            </w:r>
            <m:oMath>
              <m:r>
                <m:rPr>
                  <m:sty m:val="p"/>
                </m:rPr>
                <m:t>±</m:t>
              </m:r>
            </m:oMath>
            <w:r>
              <w:rPr>
                <w:rFonts w:ascii="Georgia" w:hAnsi="Georgia"/>
                <w:b/>
                <w:bCs/>
                <w:sz w:val="18"/>
              </w:rPr>
              <w:t xml:space="preserve"> </w:t>
            </w:r>
            <w:r>
              <w:rPr>
                <w:rFonts w:ascii="Georgia" w:hAnsi="Georgia"/>
                <w:b/>
                <w:bCs/>
                <w:sz w:val="18"/>
              </w:rPr>
              <w:t xml:space="preserve">0.100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b/>
                <w:bCs/>
                <w:sz w:val="18"/>
              </w:rPr>
              <w:t xml:space="preserve">0.699</w:t>
            </w:r>
            <w:r>
              <w:rPr>
                <w:rFonts w:ascii="Georgia" w:hAnsi="Georgia"/>
                <w:b/>
                <w:bCs/>
                <w:sz w:val="18"/>
              </w:rPr>
              <w:t xml:space="preserve"> </w:t>
            </w:r>
            <m:oMath>
              <m:r>
                <m:rPr>
                  <m:sty m:val="p"/>
                </m:rPr>
                <m:t>±</m:t>
              </m:r>
            </m:oMath>
            <w:r>
              <w:rPr>
                <w:rFonts w:ascii="Georgia" w:hAnsi="Georgia"/>
                <w:b/>
                <w:bCs/>
                <w:sz w:val="18"/>
              </w:rPr>
              <w:t xml:space="preserve"> </w:t>
            </w:r>
            <w:r>
              <w:rPr>
                <w:rFonts w:ascii="Georgia" w:hAnsi="Georgia"/>
                <w:b/>
                <w:bCs/>
                <w:sz w:val="18"/>
              </w:rPr>
              <w:t xml:space="preserve">0.150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b/>
                <w:bCs/>
                <w:sz w:val="18"/>
              </w:rPr>
              <w:t xml:space="preserve">0.741</w:t>
            </w:r>
            <w:r>
              <w:rPr>
                <w:rFonts w:ascii="Georgia" w:hAnsi="Georgia"/>
                <w:b/>
                <w:bCs/>
                <w:sz w:val="18"/>
              </w:rPr>
              <w:t xml:space="preserve"> </w:t>
            </w:r>
            <m:oMath>
              <m:r>
                <m:rPr>
                  <m:sty m:val="p"/>
                </m:rPr>
                <m:t>±</m:t>
              </m:r>
            </m:oMath>
            <w:r>
              <w:rPr>
                <w:rFonts w:ascii="Georgia" w:hAnsi="Georgia"/>
                <w:b/>
                <w:bCs/>
                <w:sz w:val="18"/>
              </w:rPr>
              <w:t xml:space="preserve"> </w:t>
            </w:r>
            <w:r>
              <w:rPr>
                <w:rFonts w:ascii="Georgia" w:hAnsi="Georgia"/>
                <w:b/>
                <w:bCs/>
                <w:sz w:val="18"/>
              </w:rPr>
              <w:t xml:space="preserve">0.154</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b/>
                <w:bCs/>
                <w:sz w:val="18"/>
              </w:rPr>
              <w:t xml:space="preserve">0.752</w:t>
            </w:r>
            <w:r>
              <w:rPr>
                <w:rFonts w:ascii="Georgia" w:hAnsi="Georgia"/>
                <w:b/>
                <w:bCs/>
                <w:sz w:val="18"/>
              </w:rPr>
              <w:t xml:space="preserve"> </w:t>
            </w:r>
            <m:oMath>
              <m:r>
                <m:rPr>
                  <m:sty m:val="p"/>
                </m:rPr>
                <m:t>±</m:t>
              </m:r>
            </m:oMath>
            <w:r>
              <w:rPr>
                <w:rFonts w:ascii="Georgia" w:hAnsi="Georgia"/>
                <w:b/>
                <w:bCs/>
                <w:sz w:val="18"/>
              </w:rPr>
              <w:t xml:space="preserve"> </w:t>
            </w:r>
            <w:r>
              <w:rPr>
                <w:rFonts w:ascii="Georgia" w:hAnsi="Georgia"/>
                <w:b/>
                <w:bCs/>
                <w:sz w:val="18"/>
              </w:rPr>
              <w:t xml:space="preserve">0.142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b/>
                <w:bCs/>
                <w:sz w:val="18"/>
              </w:rPr>
              <w:t xml:space="preserve">0.759</w:t>
            </w:r>
            <w:r>
              <w:rPr>
                <w:rFonts w:ascii="Georgia" w:hAnsi="Georgia"/>
                <w:b/>
                <w:bCs/>
                <w:sz w:val="18"/>
              </w:rPr>
              <w:t xml:space="preserve"> </w:t>
            </w:r>
            <m:oMath>
              <m:r>
                <m:rPr>
                  <m:sty m:val="p"/>
                </m:rPr>
                <m:t>±</m:t>
              </m:r>
            </m:oMath>
            <w:r>
              <w:rPr>
                <w:rFonts w:ascii="Georgia" w:hAnsi="Georgia"/>
                <w:b/>
                <w:bCs/>
                <w:sz w:val="18"/>
              </w:rPr>
              <w:t xml:space="preserve"> </w:t>
            </w:r>
            <w:r>
              <w:rPr>
                <w:rFonts w:ascii="Georgia" w:hAnsi="Georgia"/>
                <w:b/>
                <w:bCs/>
                <w:sz w:val="18"/>
              </w:rPr>
              <w:t xml:space="preserve">0.065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b/>
                <w:bCs/>
                <w:sz w:val="18"/>
              </w:rPr>
              <w:t xml:space="preserve">0.688</w:t>
            </w:r>
            <w:r>
              <w:rPr>
                <w:rFonts w:ascii="Georgia" w:hAnsi="Georgia"/>
                <w:b/>
                <w:bCs/>
                <w:sz w:val="18"/>
              </w:rPr>
              <w:t xml:space="preserve"> </w:t>
            </w:r>
            <m:oMath>
              <m:r>
                <m:rPr>
                  <m:sty m:val="p"/>
                </m:rPr>
                <m:t>±</m:t>
              </m:r>
            </m:oMath>
            <w:r>
              <w:rPr>
                <w:rFonts w:ascii="Georgia" w:hAnsi="Georgia"/>
                <w:b/>
                <w:bCs/>
                <w:sz w:val="18"/>
              </w:rPr>
              <w:t xml:space="preserve"> </w:t>
            </w:r>
            <w:r>
              <w:rPr>
                <w:rFonts w:ascii="Georgia" w:hAnsi="Georgia"/>
                <w:b/>
                <w:bCs/>
                <w:sz w:val="18"/>
              </w:rPr>
              <w:t xml:space="preserve">0.096</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8"/>
              </w:rPr>
              <w:t xml:space="preserve">10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8"/>
              </w:rPr>
              <w:t xml:space="preserve">0.792</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0.097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8"/>
              </w:rPr>
              <w:t xml:space="preserve">0.807</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0.127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8"/>
              </w:rPr>
              <w:t xml:space="preserve">0.796</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0.143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8"/>
              </w:rPr>
              <w:t xml:space="preserve">0.784</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0.168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8"/>
              </w:rPr>
              <w:t xml:space="preserve">0.762</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0.148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8"/>
              </w:rPr>
              <w:t xml:space="preserve">0.805</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0.094</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8"/>
              </w:rPr>
              <w:t xml:space="preserve">0.747</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0.141</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8"/>
              </w:rPr>
              <w:t xml:space="preserve">20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8"/>
              </w:rPr>
              <w:t xml:space="preserve">0.915</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0.067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8"/>
              </w:rPr>
              <w:t xml:space="preserve">0.899</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0.073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8"/>
              </w:rPr>
              <w:t xml:space="preserve">0.843</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0.172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8"/>
              </w:rPr>
              <w:t xml:space="preserve">0.883</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0.118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8"/>
              </w:rPr>
              <w:t xml:space="preserve">0.869</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0.074</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8"/>
              </w:rPr>
              <w:t xml:space="preserve">0.857</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0.103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8"/>
              </w:rPr>
              <w:t xml:space="preserve">0.859</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0.094</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8"/>
              </w:rPr>
              <w:t xml:space="preserve">30</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8"/>
              </w:rPr>
              <w:t xml:space="preserve">0.893</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0.000</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b/>
                <w:bCs/>
                <w:sz w:val="18"/>
              </w:rPr>
              <w:t xml:space="preserve">0.909</w:t>
            </w:r>
            <w:r>
              <w:rPr>
                <w:rFonts w:ascii="Georgia" w:hAnsi="Georgia"/>
                <w:b/>
                <w:bCs/>
                <w:sz w:val="18"/>
              </w:rPr>
              <w:t xml:space="preserve"> </w:t>
            </w:r>
            <m:oMath>
              <m:r>
                <m:rPr>
                  <m:sty m:val="p"/>
                </m:rPr>
                <m:t>±</m:t>
              </m:r>
            </m:oMath>
            <w:r>
              <w:rPr>
                <w:rFonts w:ascii="Georgia" w:hAnsi="Georgia"/>
                <w:b/>
                <w:bCs/>
                <w:sz w:val="18"/>
              </w:rPr>
              <w:t xml:space="preserve"> </w:t>
            </w:r>
            <w:r>
              <w:rPr>
                <w:rFonts w:ascii="Georgia" w:hAnsi="Georgia"/>
                <w:b/>
                <w:bCs/>
                <w:sz w:val="18"/>
              </w:rPr>
              <w:t xml:space="preserve">0.080</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b/>
                <w:bCs/>
                <w:sz w:val="18"/>
              </w:rPr>
              <w:t xml:space="preserve">0.904</w:t>
            </w:r>
            <w:r>
              <w:rPr>
                <w:rFonts w:ascii="Georgia" w:hAnsi="Georgia"/>
                <w:b/>
                <w:bCs/>
                <w:sz w:val="18"/>
              </w:rPr>
              <w:t xml:space="preserve"> </w:t>
            </w:r>
            <m:oMath>
              <m:r>
                <m:rPr>
                  <m:sty m:val="p"/>
                </m:rPr>
                <m:t>±</m:t>
              </m:r>
            </m:oMath>
            <w:r>
              <w:rPr>
                <w:rFonts w:ascii="Georgia" w:hAnsi="Georgia"/>
                <w:b/>
                <w:bCs/>
                <w:sz w:val="18"/>
              </w:rPr>
              <w:t xml:space="preserve"> </w:t>
            </w:r>
            <w:r>
              <w:rPr>
                <w:rFonts w:ascii="Georgia" w:hAnsi="Georgia"/>
                <w:b/>
                <w:bCs/>
                <w:sz w:val="18"/>
              </w:rPr>
              <w:t xml:space="preserve">0.103</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b/>
                <w:bCs/>
                <w:sz w:val="18"/>
              </w:rPr>
              <w:t xml:space="preserve">0.911</w:t>
            </w:r>
            <w:r>
              <w:rPr>
                <w:rFonts w:ascii="Georgia" w:hAnsi="Georgia"/>
                <w:b/>
                <w:bCs/>
                <w:sz w:val="18"/>
              </w:rPr>
              <w:t xml:space="preserve"> </w:t>
            </w:r>
            <m:oMath>
              <m:r>
                <m:rPr>
                  <m:sty m:val="p"/>
                </m:rPr>
                <m:t>±</m:t>
              </m:r>
            </m:oMath>
            <w:r>
              <w:rPr>
                <w:rFonts w:ascii="Georgia" w:hAnsi="Georgia"/>
                <w:b/>
                <w:bCs/>
                <w:sz w:val="18"/>
              </w:rPr>
              <w:t xml:space="preserve"> </w:t>
            </w:r>
            <w:r>
              <w:rPr>
                <w:rFonts w:ascii="Georgia" w:hAnsi="Georgia"/>
                <w:b/>
                <w:bCs/>
                <w:sz w:val="18"/>
              </w:rPr>
              <w:t xml:space="preserve">0.092</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b/>
                <w:bCs/>
                <w:sz w:val="18"/>
              </w:rPr>
              <w:t xml:space="preserve">0.904</w:t>
            </w:r>
            <w:r>
              <w:rPr>
                <w:rFonts w:ascii="Georgia" w:hAnsi="Georgia"/>
                <w:b/>
                <w:bCs/>
                <w:sz w:val="18"/>
              </w:rPr>
              <w:t xml:space="preserve"> </w:t>
            </w:r>
            <m:oMath>
              <m:r>
                <m:rPr>
                  <m:sty m:val="p"/>
                </m:rPr>
                <m:t>±</m:t>
              </m:r>
            </m:oMath>
            <w:r>
              <w:rPr>
                <w:rFonts w:ascii="Georgia" w:hAnsi="Georgia"/>
                <w:b/>
                <w:bCs/>
                <w:sz w:val="18"/>
              </w:rPr>
              <w:t xml:space="preserve"> </w:t>
            </w:r>
            <w:r>
              <w:rPr>
                <w:rFonts w:ascii="Georgia" w:hAnsi="Georgia"/>
                <w:b/>
                <w:bCs/>
                <w:sz w:val="18"/>
              </w:rPr>
              <w:t xml:space="preserve">0.103</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8"/>
              </w:rPr>
              <w:t xml:space="preserve">0.873</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0.093</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8"/>
              </w:rPr>
              <w:t xml:space="preserve">0.872</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0.095</w:t>
            </w:r>
          </w:p>
        </w:tc>
      </w:tr>
    </w:tbl>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1" w:space="288"/>
          <w:docGrid w:linePitch="360"/>
        </w:sectPr>
      </w:pPr>
    </w:p>
    <w:p>
      <w:pPr>
        <w:pStyle w:val="BodyText"/>
        <w:jc w:val="both"/>
        <w:keepNext w:val="0"/>
        <w:keepLines w:val="0"/>
        <w:widowControl w:val="1"/>
      </w:pPr>
      <w:r>
        <w:t xml:space="preserve">Two patterns are visible.</w:t>
      </w:r>
      <w:r>
        <w:t xml:space="preserve"> </w:t>
      </w:r>
      <w:r>
        <w:rPr>
          <w:b/>
          <w:bCs/>
        </w:rPr>
        <w:t xml:space="preserve">(i) Synthetic data is most valuable when real is scarce.</w:t>
      </w:r>
      <w:r>
        <w:t xml:space="preserve"> </w:t>
      </w:r>
      <w:r>
        <w:t xml:space="preserve">At</w:t>
      </w:r>
      <w:r>
        <w:t xml:space="preserve"> </w:t>
      </w:r>
      <m:oMath>
        <m:r>
          <m:t>n</m:t>
        </m:r>
        <m:r>
          <m:rPr>
            <m:sty m:val="p"/>
          </m:rPr>
          <m:t>=</m:t>
        </m:r>
        <m:r>
          <m:t>5</m:t>
        </m:r>
      </m:oMath>
      <w:r>
        <w:t xml:space="preserve">, every iterated synthetic condition lifts macro F1 over real-only by</w:t>
      </w:r>
      <w:r>
        <w:t xml:space="preserve"> </w:t>
      </w:r>
      <m:oMath>
        <m:r>
          <m:rPr>
            <m:sty m:val="p"/>
          </m:rPr>
          <m:t>+</m:t>
        </m:r>
        <m:r>
          <m:t>0.05</m:t>
        </m:r>
      </m:oMath>
      <w:r>
        <w:t xml:space="preserve"> </w:t>
      </w:r>
      <w:r>
        <w:t xml:space="preserve">to</w:t>
      </w:r>
      <w:r>
        <w:t xml:space="preserve"> </w:t>
      </w:r>
      <m:oMath>
        <m:r>
          <m:rPr>
            <m:sty m:val="p"/>
          </m:rPr>
          <m:t>+</m:t>
        </m:r>
        <m:r>
          <m:t>0.13</m:t>
        </m:r>
      </m:oMath>
      <w:r>
        <w:t xml:space="preserve">.</w:t>
      </w:r>
      <w:r>
        <w:t xml:space="preserve"> </w:t>
      </w:r>
      <w:r>
        <w:rPr>
          <w:b/>
          <w:bCs/>
        </w:rPr>
        <w:t xml:space="preserve">(ii) Solo conditions saturate near the real-only ceiling at</w:t>
      </w:r>
      <w:r>
        <w:rPr>
          <w:b/>
          <w:bCs/>
        </w:rPr>
        <w:t xml:space="preserve"> </w:t>
      </w:r>
      <m:oMath>
        <m:r>
          <m:t>n</m:t>
        </m:r>
        <m:r>
          <m:rPr>
            <m:sty m:val="p"/>
          </m:rPr>
          <m:t>≥</m:t>
        </m:r>
        <m:r>
          <m:t>20</m:t>
        </m:r>
      </m:oMath>
      <w:r>
        <w:rPr>
          <w:b/>
          <w:bCs/>
        </w:rPr>
        <w:t xml:space="preserve"> </w:t>
      </w:r>
      <w:r>
        <w:rPr>
          <w:b/>
          <w:bCs/>
        </w:rPr>
        <w:t xml:space="preserve">without differentiating each other.</w:t>
      </w:r>
      <w:r>
        <w:t xml:space="preserve"> </w:t>
      </w:r>
      <w:r>
        <w:t xml:space="preserve">At</w:t>
      </w:r>
      <w:r>
        <w:t xml:space="preserve"> </w:t>
      </w:r>
      <m:oMath>
        <m:sSub>
          <m:e>
            <m:r>
              <m:t>n</m:t>
            </m:r>
          </m:e>
          <m:sub>
            <m:r>
              <m:rPr>
                <m:nor/>
                <m:sty m:val="p"/>
              </m:rPr>
              <m:t>real</m:t>
            </m:r>
          </m:sub>
        </m:sSub>
        <m:r>
          <m:rPr>
            <m:sty m:val="p"/>
          </m:rPr>
          <m:t>=</m:t>
        </m:r>
        <m:r>
          <m:t>30</m:t>
        </m:r>
      </m:oMath>
      <w:r>
        <w:t xml:space="preserve"> </w:t>
      </w:r>
      <w:r>
        <w:t xml:space="preserve">the real-only ceiling lands at</w:t>
      </w:r>
      <w:r>
        <w:t xml:space="preserve"> </w:t>
      </w:r>
      <m:oMath>
        <m:r>
          <m:t>0.893</m:t>
        </m:r>
      </m:oMath>
      <w:r>
        <w:t xml:space="preserve"> </w:t>
      </w:r>
      <w:r>
        <w:t xml:space="preserve">and every iterated condition lands within one real-only standard deviation. The solo-classifier paths do not differentiate SynSmith from the three-critic baseline on customer-support; the differentiation appears at the cross-condition ensemble level (Section 7.3).</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2" w:space="288" w:equalWidth="1"/>
          <w:docGrid w:linePitch="360"/>
        </w:sectPr>
      </w:pPr>
    </w:p>
    <w:p>
      <w:pPr>
        <w:pStyle w:val="BodyText"/>
        <w:jc w:val="center"/>
        <w:keepNext/>
        <w:keepLines/>
        <w:widowControl w:val="1"/>
      </w:pPr>
      <w:r>
        <w:drawing>
          <wp:inline>
            <wp:extent cx="5943600" cy="2631574"/>
            <wp:effectExtent b="0" l="0" r="0" t="0"/>
            <wp:docPr descr="Per-class augmentation F1 at n_real=30" title="" id="190" name="Picture"/>
            <a:graphic>
              <a:graphicData uri="http://schemas.openxmlformats.org/drawingml/2006/picture">
                <pic:pic>
                  <pic:nvPicPr>
                    <pic:cNvPr descr="figures/main_run_002_per_class_aug.png" id="191" name="Picture"/>
                    <pic:cNvPicPr>
                      <a:picLocks noChangeArrowheads="1" noChangeAspect="1"/>
                    </pic:cNvPicPr>
                  </pic:nvPicPr>
                  <pic:blipFill>
                    <a:blip r:embed="rId189"/>
                    <a:stretch>
                      <a:fillRect/>
                    </a:stretch>
                  </pic:blipFill>
                  <pic:spPr bwMode="auto">
                    <a:xfrm>
                      <a:off x="0" y="0"/>
                      <a:ext cx="5943600" cy="2631574"/>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m:oMath>
        <m:sSub>
          <m:e>
            <m:r>
              <m:t>n</m:t>
            </m:r>
          </m:e>
          <m:sub>
            <m:r>
              <m:rPr>
                <m:nor/>
                <m:sty m:val="p"/>
              </m:rPr>
              <m:t>real</m:t>
            </m:r>
          </m:sub>
        </m:sSub>
        <m:r>
          <m:rPr>
            <m:sty m:val="p"/>
          </m:rPr>
          <m:t>=</m:t>
        </m:r>
        <m:r>
          <m:t>30</m:t>
        </m:r>
      </m:oMath>
      <m:oMath>
        <m:r>
          <m:t>10</m:t>
        </m:r>
      </m:oMath>
      <m:oMath>
        <m:r>
          <m:rPr>
            <m:sty m:val="p"/>
          </m:rPr>
          <m:t>+</m:t>
        </m:r>
      </m:oMath>
      <m:oMath>
        <m:r>
          <m:t>0.67</m:t>
        </m:r>
        <m:r>
          <m:rPr>
            <m:sty m:val="p"/>
          </m:rPr>
          <m:t>→</m:t>
        </m:r>
        <m:r>
          <m:t>0.83</m:t>
        </m:r>
      </m:oMath>
      <m:oMath>
        <m:r>
          <m:rPr>
            <m:sty m:val="p"/>
          </m:rPr>
          <m:t>+</m:t>
        </m:r>
        <m:r>
          <m:t>0.16</m:t>
        </m:r>
      </m:oMath>
      <m:oMath>
        <m:r>
          <m:t>0.80</m:t>
        </m:r>
        <m:r>
          <m:rPr>
            <m:sty m:val="p"/>
          </m:rPr>
          <m:t>→</m:t>
        </m:r>
        <m:r>
          <m:t>0.90</m:t>
        </m:r>
      </m:oMath>
      <m:oMath>
        <m:r>
          <m:rPr>
            <m:sty m:val="p"/>
          </m:rPr>
          <m:t>+</m:t>
        </m:r>
        <m:r>
          <m:t>0.10</m:t>
        </m:r>
      </m:oMath>
      <w:r>
        <w:rPr>
          <w:b/>
          <w:i/>
        </w:rPr>
        <w:t>Figure D2:</w:t>
      </w:r>
      <w:r>
        <w:rPr>
          <w:b w:val="0"/>
          <w:i/>
        </w:rPr>
        <w:t xml:space="preserve"> </w:t>
      </w:r>
      <w:r>
        <w:rPr>
          <w:b w:val="0"/>
          <w:i/>
        </w:rPr>
        <w:t>Per-class augmentation F1 at  on customer-support intent classification ( seeds). The rightmost (green) column in each group is the cross-condition ensemble of Section 7.3, Self-critique  SynSmith logit-averaged. The ensemble matches or improves on real-only across all five classes, with the largest lifts on the two harder classes (complaint , ; general_question , ).</w:t>
      </w:r>
    </w:p>
    <w:p>
      <w:pPr>
        <w:pStyle w:val="TableCaption"/>
        <w:spacing w:before="240" w:after="60" w:line="240" w:lineRule="auto"/>
        <w:jc w:val="center"/>
        <w:keepNext/>
        <w:keepLines/>
        <w:widowControl w:val="1"/>
      </w:pPr>
      <m:oMath>
        <m:sSub>
          <m:e>
            <m:r>
              <m:t>n</m:t>
            </m:r>
          </m:e>
          <m:sub>
            <m:r>
              <m:rPr>
                <m:nor/>
                <m:sty m:val="p"/>
              </m:rPr>
              <m:t>real</m:t>
            </m:r>
          </m:sub>
        </m:sSub>
        <m:r>
          <m:rPr>
            <m:sty m:val="p"/>
          </m:rPr>
          <m:t>=</m:t>
        </m:r>
        <m:r>
          <m:t>30</m:t>
        </m:r>
      </m:oMath>
      <w:r>
        <w:rPr>
          <w:b/>
          <w:i/>
        </w:rPr>
        <w:t>Table D2:</w:t>
      </w:r>
      <w:r>
        <w:rPr>
          <w:b w:val="0"/>
          <w:i/>
        </w:rPr>
        <w:t xml:space="preserve"> </w:t>
      </w:r>
      <w:r>
        <w:rPr>
          <w:b w:val="0"/>
          <w:i/>
        </w:rPr>
        <w:t>Per-class augmentation F1 at  on customer-support. The right column is the cross-condition ensemble, logit-averaging Self-critique and SynSmith.</w:t>
      </w:r>
    </w:p>
    <w:tbl>
      <w:tblPr>
        <w:tblStyle w:val="Table"/>
        <w:tblW w:type="pct" w:w="5000"/>
        <w:jc w:val="center"/>
        <w:tblLook w:firstRow="1" w:lastRow="0" w:firstColumn="0" w:lastColumn="0" w:noHBand="0" w:noVBand="0" w:val="0020"/>
        <w:tblCaption w:val="Table D2: Per-class augmentation F1 at n_{\text{real}} = 30 on customer-support. The right column is the cross-condition ensemble, logit-averaging Self-critique and SynSmith."/>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584"/>
        <w:gridCol w:w="1584"/>
        <w:gridCol w:w="1584"/>
        <w:gridCol w:w="1584"/>
        <w:gridCol w:w="1584"/>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class</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real-only</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Baseline-3C (solo)</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SynSmith (solo)</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ENS</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Georgia" w:hAnsi="Georgia"/>
                <w:sz w:val="19"/>
              </w:rPr>
              <w:t xml:space="preserve">account_issue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1.00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1.00</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1.00</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b/>
                <w:bCs/>
                <w:sz w:val="19"/>
              </w:rPr>
              <w:t xml:space="preserve">1.00</w:t>
            </w:r>
            <w:r>
              <w:rPr>
                <w:rFonts w:ascii="Georgia" w:hAnsi="Georgia"/>
                <w:b/>
                <w:bCs/>
                <w:sz w:val="19"/>
              </w:rPr>
              <w:t xml:space="preserve"> </w:t>
            </w:r>
            <m:oMath>
              <m:r>
                <m:rPr>
                  <m:sty m:val="p"/>
                </m:rPr>
                <m:t>±</m:t>
              </m:r>
            </m:oMath>
            <w:r>
              <w:rPr>
                <w:rFonts w:ascii="Georgia" w:hAnsi="Georgia"/>
                <w:b/>
                <w:bCs/>
                <w:sz w:val="19"/>
              </w:rPr>
              <w:t xml:space="preserve"> </w:t>
            </w:r>
            <w:r>
              <w:rPr>
                <w:rFonts w:ascii="Georgia" w:hAnsi="Georgia"/>
                <w:b/>
                <w:bCs/>
                <w:sz w:val="19"/>
              </w:rPr>
              <w:t xml:space="preserve">0.00</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Georgia" w:hAnsi="Georgia"/>
                <w:sz w:val="19"/>
              </w:rPr>
              <w:t xml:space="preserve">complaint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0.67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0.63</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0.37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0.60</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0.34</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b/>
                <w:bCs/>
                <w:sz w:val="19"/>
              </w:rPr>
              <w:t xml:space="preserve">0.83</w:t>
            </w:r>
            <w:r>
              <w:rPr>
                <w:rFonts w:ascii="Georgia" w:hAnsi="Georgia"/>
                <w:b/>
                <w:bCs/>
                <w:sz w:val="19"/>
              </w:rPr>
              <w:t xml:space="preserve"> </w:t>
            </w:r>
            <m:oMath>
              <m:r>
                <m:rPr>
                  <m:sty m:val="p"/>
                </m:rPr>
                <m:t>±</m:t>
              </m:r>
            </m:oMath>
            <w:r>
              <w:rPr>
                <w:rFonts w:ascii="Georgia" w:hAnsi="Georgia"/>
                <w:b/>
                <w:bCs/>
                <w:sz w:val="19"/>
              </w:rPr>
              <w:t xml:space="preserve"> </w:t>
            </w:r>
            <w:r>
              <w:rPr>
                <w:rFonts w:ascii="Georgia" w:hAnsi="Georgia"/>
                <w:b/>
                <w:bCs/>
                <w:sz w:val="19"/>
              </w:rPr>
              <w:t xml:space="preserve">0.18</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Georgia" w:hAnsi="Georgia"/>
                <w:sz w:val="19"/>
              </w:rPr>
              <w:t xml:space="preserve">general_question</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0.80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0.80</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0.12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0.81</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0.11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b/>
                <w:bCs/>
                <w:sz w:val="19"/>
              </w:rPr>
              <w:t xml:space="preserve">0.90</w:t>
            </w:r>
            <w:r>
              <w:rPr>
                <w:rFonts w:ascii="Georgia" w:hAnsi="Georgia"/>
                <w:b/>
                <w:bCs/>
                <w:sz w:val="19"/>
              </w:rPr>
              <w:t xml:space="preserve"> </w:t>
            </w:r>
            <m:oMath>
              <m:r>
                <m:rPr>
                  <m:sty m:val="p"/>
                </m:rPr>
                <m:t>±</m:t>
              </m:r>
            </m:oMath>
            <w:r>
              <w:rPr>
                <w:rFonts w:ascii="Georgia" w:hAnsi="Georgia"/>
                <w:b/>
                <w:bCs/>
                <w:sz w:val="19"/>
              </w:rPr>
              <w:t xml:space="preserve"> </w:t>
            </w:r>
            <w:r>
              <w:rPr>
                <w:rFonts w:ascii="Georgia" w:hAnsi="Georgia"/>
                <w:b/>
                <w:bCs/>
                <w:sz w:val="19"/>
              </w:rPr>
              <w:t xml:space="preserve">0.11</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Georgia" w:hAnsi="Georgia"/>
                <w:sz w:val="19"/>
              </w:rPr>
              <w:t xml:space="preserve">refund_request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1.00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1.00</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0.98</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b/>
                <w:bCs/>
                <w:sz w:val="19"/>
              </w:rPr>
              <w:t xml:space="preserve">1.00</w:t>
            </w:r>
            <w:r>
              <w:rPr>
                <w:rFonts w:ascii="Georgia" w:hAnsi="Georgia"/>
                <w:b/>
                <w:bCs/>
                <w:sz w:val="19"/>
              </w:rPr>
              <w:t xml:space="preserve"> </w:t>
            </w:r>
            <m:oMath>
              <m:r>
                <m:rPr>
                  <m:sty m:val="p"/>
                </m:rPr>
                <m:t>±</m:t>
              </m:r>
            </m:oMath>
            <w:r>
              <w:rPr>
                <w:rFonts w:ascii="Georgia" w:hAnsi="Georgia"/>
                <w:b/>
                <w:bCs/>
                <w:sz w:val="19"/>
              </w:rPr>
              <w:t xml:space="preserve"> </w:t>
            </w:r>
            <w:r>
              <w:rPr>
                <w:rFonts w:ascii="Georgia" w:hAnsi="Georgia"/>
                <w:b/>
                <w:bCs/>
                <w:sz w:val="19"/>
              </w:rPr>
              <w:t xml:space="preserve">0.00</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Style w:val="VerbatimChar"/>
                <w:rFonts w:ascii="Georgia" w:hAnsi="Georgia"/>
                <w:sz w:val="19"/>
              </w:rPr>
              <w:t xml:space="preserve">technical_problem</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1.00</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0.93</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0.14</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0.97</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0.11</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b/>
                <w:bCs/>
                <w:sz w:val="19"/>
              </w:rPr>
              <w:t xml:space="preserve">1.00</w:t>
            </w:r>
            <w:r>
              <w:rPr>
                <w:rFonts w:ascii="Georgia" w:hAnsi="Georgia"/>
                <w:b/>
                <w:bCs/>
                <w:sz w:val="19"/>
              </w:rPr>
              <w:t xml:space="preserve"> </w:t>
            </w:r>
            <m:oMath>
              <m:r>
                <m:rPr>
                  <m:sty m:val="p"/>
                </m:rPr>
                <m:t>±</m:t>
              </m:r>
            </m:oMath>
            <w:r>
              <w:rPr>
                <w:rFonts w:ascii="Georgia" w:hAnsi="Georgia"/>
                <w:b/>
                <w:bCs/>
                <w:sz w:val="19"/>
              </w:rPr>
              <w:t xml:space="preserve"> </w:t>
            </w:r>
            <w:r>
              <w:rPr>
                <w:rFonts w:ascii="Georgia" w:hAnsi="Georgia"/>
                <w:b/>
                <w:bCs/>
                <w:sz w:val="19"/>
              </w:rPr>
              <w:t xml:space="preserve">0.00</w:t>
            </w:r>
          </w:p>
        </w:tc>
      </w:tr>
    </w:tbl>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1" w:space="288"/>
          <w:docGrid w:linePitch="360"/>
        </w:sectPr>
      </w:pPr>
    </w:p>
    <w:bookmarkEnd w:id="192"/>
    <w:bookmarkStart w:id="193" w:name="sec-appendix-banking77-aug"/>
    <w:p>
      <w:pPr>
        <w:pStyle w:val="Heading2"/>
        <w:keepNext/>
        <w:keepLines/>
        <w:widowControl w:val="1"/>
      </w:pPr>
      <w:r>
        <w:t xml:space="preserve">E</w:t>
      </w:r>
      <w:r>
        <w:t xml:space="preserve"> </w:t>
      </w:r>
      <w:r>
        <w:t xml:space="preserve">Appendix: Banking77 cross-domain augmentation details</w:t>
      </w:r>
    </w:p>
    <w:p>
      <w:pPr>
        <w:pStyle w:val="FirstParagraph"/>
        <w:jc w:val="both"/>
        <w:keepNext w:val="0"/>
        <w:keepLines w:val="0"/>
        <w:widowControl w:val="1"/>
      </w:pPr>
      <w:r>
        <w:t xml:space="preserve">Customer-support intent classification saturates at macro F1</w:t>
      </w:r>
      <w:r>
        <w:t xml:space="preserve"> </w:t>
      </w:r>
      <m:oMath>
        <m:r>
          <m:t>0.893</m:t>
        </m:r>
      </m:oMath>
      <w:r>
        <w:t xml:space="preserve"> </w:t>
      </w:r>
      <w:r>
        <w:t xml:space="preserve">with</w:t>
      </w:r>
      <w:r>
        <w:t xml:space="preserve"> </w:t>
      </w:r>
      <m:oMath>
        <m:sSub>
          <m:e>
            <m:r>
              <m:t>n</m:t>
            </m:r>
          </m:e>
          <m:sub>
            <m:r>
              <m:rPr>
                <m:nor/>
                <m:sty m:val="p"/>
              </m:rPr>
              <m:t>real</m:t>
            </m:r>
          </m:sub>
        </m:sSub>
        <m:r>
          <m:rPr>
            <m:sty m:val="p"/>
          </m:rPr>
          <m:t>=</m:t>
        </m:r>
        <m:r>
          <m:t>30</m:t>
        </m:r>
      </m:oMath>
      <w:r>
        <w:t xml:space="preserve">, so the diversity-vs-fidelity tradeoff is constrained by the test-set ceiling. We replicate the augmentation protocol on a Banking77</w:t>
      </w:r>
      <w:r>
        <w:t xml:space="preserve"> </w:t>
      </w:r>
      <w:hyperlink w:anchor="ref-banking77">
        <w:r>
          <w:rPr>
            <w:rStyle w:val="Hyperlink"/>
          </w:rPr>
          <w:t xml:space="preserve">[41]</w:t>
        </w:r>
      </w:hyperlink>
      <w:r>
        <w:t xml:space="preserve"> </w:t>
      </w:r>
      <w:r>
        <w:t xml:space="preserve">subset:</w:t>
      </w:r>
      <w:r>
        <w:t xml:space="preserve"> </w:t>
      </w:r>
      <m:oMath>
        <m:r>
          <m:t>10</m:t>
        </m:r>
      </m:oMath>
      <w:r>
        <w:t xml:space="preserve"> </w:t>
      </w:r>
      <w:r>
        <w:t xml:space="preserve">card-and-payment intent classes,</w:t>
      </w:r>
      <w:r>
        <w:t xml:space="preserve"> </w:t>
      </w:r>
      <m:oMath>
        <m:r>
          <m:t>300</m:t>
        </m:r>
      </m:oMath>
      <w:r>
        <w:t xml:space="preserve"> </w:t>
      </w:r>
      <w:r>
        <w:t xml:space="preserve">train and</w:t>
      </w:r>
      <w:r>
        <w:t xml:space="preserve"> </w:t>
      </w:r>
      <m:oMath>
        <m:r>
          <m:t>400</m:t>
        </m:r>
      </m:oMath>
      <w:r>
        <w:t xml:space="preserve"> </w:t>
      </w:r>
      <w:r>
        <w:t xml:space="preserve">held-out test,</w:t>
      </w:r>
      <w:r>
        <w:t xml:space="preserve"> </w:t>
      </w:r>
      <m:oMath>
        <m:r>
          <m:t>5</m:t>
        </m:r>
      </m:oMath>
      <w:r>
        <w:t xml:space="preserve"> </w:t>
      </w:r>
      <w:r>
        <w:t xml:space="preserve">seeds, same seven conditions, same backend.</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2" w:space="288" w:equalWidth="1"/>
          <w:docGrid w:linePitch="360"/>
        </w:sectPr>
      </w:pPr>
    </w:p>
    <w:p>
      <w:pPr>
        <w:pStyle w:val="TableCaption"/>
        <w:spacing w:before="240" w:after="60" w:line="240" w:lineRule="auto"/>
        <w:jc w:val="center"/>
        <w:keepNext/>
        <w:keepLines/>
        <w:widowControl w:val="1"/>
      </w:pPr>
      <m:oMath>
        <m:r>
          <m:t>5</m:t>
        </m:r>
      </m:oMath>
      <w:r>
        <w:rPr>
          <w:b/>
          <w:i/>
        </w:rPr>
        <w:t>Table E1:</w:t>
      </w:r>
      <w:r>
        <w:rPr>
          <w:b w:val="0"/>
          <w:i/>
        </w:rPr>
        <w:t xml:space="preserve"> </w:t>
      </w:r>
      <w:r>
        <w:rPr>
          <w:b w:val="0"/>
          <w:i/>
        </w:rPr>
        <w:t>Banking77 cross-domain augmentation. Macro F1 and worst-class F1 across  seeds.</w:t>
      </w:r>
    </w:p>
    <w:tbl>
      <w:tblPr>
        <w:tblStyle w:val="Table"/>
        <w:tblW w:type="pct" w:w="5000"/>
        <w:jc w:val="center"/>
        <w:tblLook w:firstRow="1" w:lastRow="0" w:firstColumn="0" w:lastColumn="0" w:noHBand="0" w:noVBand="0" w:val="0020"/>
        <w:tblCaption w:val="Table E1: Banking77 cross-domain augmentation. Macro F1 and worst-class F1 across 5 seeds."/>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131"/>
        <w:gridCol w:w="1131"/>
        <w:gridCol w:w="1131"/>
        <w:gridCol w:w="1131"/>
        <w:gridCol w:w="1131"/>
        <w:gridCol w:w="1131"/>
        <w:gridCol w:w="1131"/>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m:oMath>
              <m:sSub>
                <m:e>
                  <m:r>
                    <m:t>n</m:t>
                  </m:r>
                </m:e>
                <m:sub>
                  <m:r>
                    <m:rPr>
                      <m:nor/>
                      <m:sty m:val="p"/>
                    </m:rPr>
                    <m:t>real</m:t>
                  </m:r>
                </m:sub>
              </m:sSub>
            </m:oMath>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8"/>
              </w:rPr>
              <w:t xml:space="preserve">real-only macro</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8"/>
              </w:rPr>
              <w:t xml:space="preserve">+ Baseline-3C</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8"/>
              </w:rPr>
              <w:t xml:space="preserve">+ SynSmith</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8"/>
              </w:rPr>
              <w:t xml:space="preserve">real-only worst</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8"/>
              </w:rPr>
              <w:t xml:space="preserve">+ Baseline-3C worst</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8"/>
              </w:rPr>
              <w:t xml:space="preserve">+ SynSmith worst</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8"/>
              </w:rPr>
              <w:t xml:space="preserve">10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8"/>
              </w:rPr>
              <w:t xml:space="preserve">0.726</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0.052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b/>
                <w:bCs/>
                <w:sz w:val="18"/>
              </w:rPr>
              <w:t xml:space="preserve">0.882</w:t>
            </w:r>
            <w:r>
              <w:rPr>
                <w:rFonts w:ascii="Georgia" w:hAnsi="Georgia"/>
                <w:b/>
                <w:bCs/>
                <w:sz w:val="18"/>
              </w:rPr>
              <w:t xml:space="preserve"> </w:t>
            </w:r>
            <m:oMath>
              <m:r>
                <m:rPr>
                  <m:sty m:val="p"/>
                </m:rPr>
                <m:t>±</m:t>
              </m:r>
            </m:oMath>
            <w:r>
              <w:rPr>
                <w:rFonts w:ascii="Georgia" w:hAnsi="Georgia"/>
                <w:b/>
                <w:bCs/>
                <w:sz w:val="18"/>
              </w:rPr>
              <w:t xml:space="preserve"> </w:t>
            </w:r>
            <w:r>
              <w:rPr>
                <w:rFonts w:ascii="Georgia" w:hAnsi="Georgia"/>
                <w:b/>
                <w:bCs/>
                <w:sz w:val="18"/>
              </w:rPr>
              <w:t xml:space="preserve">0.012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b/>
                <w:bCs/>
                <w:sz w:val="18"/>
              </w:rPr>
              <w:t xml:space="preserve">0.876</w:t>
            </w:r>
            <w:r>
              <w:rPr>
                <w:rFonts w:ascii="Georgia" w:hAnsi="Georgia"/>
                <w:b/>
                <w:bCs/>
                <w:sz w:val="18"/>
              </w:rPr>
              <w:t xml:space="preserve"> </w:t>
            </w:r>
            <m:oMath>
              <m:r>
                <m:rPr>
                  <m:sty m:val="p"/>
                </m:rPr>
                <m:t>±</m:t>
              </m:r>
            </m:oMath>
            <w:r>
              <w:rPr>
                <w:rFonts w:ascii="Georgia" w:hAnsi="Georgia"/>
                <w:b/>
                <w:bCs/>
                <w:sz w:val="18"/>
              </w:rPr>
              <w:t xml:space="preserve"> </w:t>
            </w:r>
            <w:r>
              <w:rPr>
                <w:rFonts w:ascii="Georgia" w:hAnsi="Georgia"/>
                <w:b/>
                <w:bCs/>
                <w:sz w:val="18"/>
              </w:rPr>
              <w:t xml:space="preserve">0.009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8"/>
              </w:rPr>
              <w:t xml:space="preserve">0.319</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0.181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b/>
                <w:bCs/>
                <w:sz w:val="18"/>
              </w:rPr>
              <w:t xml:space="preserve">0.747</w:t>
            </w:r>
            <w:r>
              <w:rPr>
                <w:rFonts w:ascii="Georgia" w:hAnsi="Georgia"/>
                <w:b/>
                <w:bCs/>
                <w:sz w:val="18"/>
              </w:rPr>
              <w:t xml:space="preserve"> </w:t>
            </w:r>
            <m:oMath>
              <m:r>
                <m:rPr>
                  <m:sty m:val="p"/>
                </m:rPr>
                <m:t>±</m:t>
              </m:r>
            </m:oMath>
            <w:r>
              <w:rPr>
                <w:rFonts w:ascii="Georgia" w:hAnsi="Georgia"/>
                <w:b/>
                <w:bCs/>
                <w:sz w:val="18"/>
              </w:rPr>
              <w:t xml:space="preserve"> </w:t>
            </w:r>
            <w:r>
              <w:rPr>
                <w:rFonts w:ascii="Georgia" w:hAnsi="Georgia"/>
                <w:b/>
                <w:bCs/>
                <w:sz w:val="18"/>
              </w:rPr>
              <w:t xml:space="preserve">0.043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b/>
                <w:bCs/>
                <w:sz w:val="18"/>
              </w:rPr>
              <w:t xml:space="preserve">0.720</w:t>
            </w:r>
            <w:r>
              <w:rPr>
                <w:rFonts w:ascii="Georgia" w:hAnsi="Georgia"/>
                <w:b/>
                <w:bCs/>
                <w:sz w:val="18"/>
              </w:rPr>
              <w:t xml:space="preserve"> </w:t>
            </w:r>
            <m:oMath>
              <m:r>
                <m:rPr>
                  <m:sty m:val="p"/>
                </m:rPr>
                <m:t>±</m:t>
              </m:r>
            </m:oMath>
            <w:r>
              <w:rPr>
                <w:rFonts w:ascii="Georgia" w:hAnsi="Georgia"/>
                <w:b/>
                <w:bCs/>
                <w:sz w:val="18"/>
              </w:rPr>
              <w:t xml:space="preserve"> </w:t>
            </w:r>
            <w:r>
              <w:rPr>
                <w:rFonts w:ascii="Georgia" w:hAnsi="Georgia"/>
                <w:b/>
                <w:bCs/>
                <w:sz w:val="18"/>
              </w:rPr>
              <w:t xml:space="preserve">0.046</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8"/>
              </w:rPr>
              <w:t xml:space="preserve">30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8"/>
              </w:rPr>
              <w:t xml:space="preserve">0.864</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0.035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b/>
                <w:bCs/>
                <w:sz w:val="18"/>
              </w:rPr>
              <w:t xml:space="preserve">0.894</w:t>
            </w:r>
            <w:r>
              <w:rPr>
                <w:rFonts w:ascii="Georgia" w:hAnsi="Georgia"/>
                <w:b/>
                <w:bCs/>
                <w:sz w:val="18"/>
              </w:rPr>
              <w:t xml:space="preserve"> </w:t>
            </w:r>
            <m:oMath>
              <m:r>
                <m:rPr>
                  <m:sty m:val="p"/>
                </m:rPr>
                <m:t>±</m:t>
              </m:r>
            </m:oMath>
            <w:r>
              <w:rPr>
                <w:rFonts w:ascii="Georgia" w:hAnsi="Georgia"/>
                <w:b/>
                <w:bCs/>
                <w:sz w:val="18"/>
              </w:rPr>
              <w:t xml:space="preserve"> </w:t>
            </w:r>
            <w:r>
              <w:rPr>
                <w:rFonts w:ascii="Georgia" w:hAnsi="Georgia"/>
                <w:b/>
                <w:bCs/>
                <w:sz w:val="18"/>
              </w:rPr>
              <w:t xml:space="preserve">0.020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b/>
                <w:bCs/>
                <w:sz w:val="18"/>
              </w:rPr>
              <w:t xml:space="preserve">0.892</w:t>
            </w:r>
            <w:r>
              <w:rPr>
                <w:rFonts w:ascii="Georgia" w:hAnsi="Georgia"/>
                <w:b/>
                <w:bCs/>
                <w:sz w:val="18"/>
              </w:rPr>
              <w:t xml:space="preserve"> </w:t>
            </w:r>
            <m:oMath>
              <m:r>
                <m:rPr>
                  <m:sty m:val="p"/>
                </m:rPr>
                <m:t>±</m:t>
              </m:r>
            </m:oMath>
            <w:r>
              <w:rPr>
                <w:rFonts w:ascii="Georgia" w:hAnsi="Georgia"/>
                <w:b/>
                <w:bCs/>
                <w:sz w:val="18"/>
              </w:rPr>
              <w:t xml:space="preserve"> </w:t>
            </w:r>
            <w:r>
              <w:rPr>
                <w:rFonts w:ascii="Georgia" w:hAnsi="Georgia"/>
                <w:b/>
                <w:bCs/>
                <w:sz w:val="18"/>
              </w:rPr>
              <w:t xml:space="preserve">0.007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8"/>
              </w:rPr>
              <w:t xml:space="preserve">0.695</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0.119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b/>
                <w:bCs/>
                <w:sz w:val="18"/>
              </w:rPr>
              <w:t xml:space="preserve">0.792</w:t>
            </w:r>
            <w:r>
              <w:rPr>
                <w:rFonts w:ascii="Georgia" w:hAnsi="Georgia"/>
                <w:b/>
                <w:bCs/>
                <w:sz w:val="18"/>
              </w:rPr>
              <w:t xml:space="preserve"> </w:t>
            </w:r>
            <m:oMath>
              <m:r>
                <m:rPr>
                  <m:sty m:val="p"/>
                </m:rPr>
                <m:t>±</m:t>
              </m:r>
            </m:oMath>
            <w:r>
              <w:rPr>
                <w:rFonts w:ascii="Georgia" w:hAnsi="Georgia"/>
                <w:b/>
                <w:bCs/>
                <w:sz w:val="18"/>
              </w:rPr>
              <w:t xml:space="preserve"> </w:t>
            </w:r>
            <w:r>
              <w:rPr>
                <w:rFonts w:ascii="Georgia" w:hAnsi="Georgia"/>
                <w:b/>
                <w:bCs/>
                <w:sz w:val="18"/>
              </w:rPr>
              <w:t xml:space="preserve">0.045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b/>
                <w:bCs/>
                <w:sz w:val="18"/>
              </w:rPr>
              <w:t xml:space="preserve">0.771</w:t>
            </w:r>
            <w:r>
              <w:rPr>
                <w:rFonts w:ascii="Georgia" w:hAnsi="Georgia"/>
                <w:b/>
                <w:bCs/>
                <w:sz w:val="18"/>
              </w:rPr>
              <w:t xml:space="preserve"> </w:t>
            </w:r>
            <m:oMath>
              <m:r>
                <m:rPr>
                  <m:sty m:val="p"/>
                </m:rPr>
                <m:t>±</m:t>
              </m:r>
            </m:oMath>
            <w:r>
              <w:rPr>
                <w:rFonts w:ascii="Georgia" w:hAnsi="Georgia"/>
                <w:b/>
                <w:bCs/>
                <w:sz w:val="18"/>
              </w:rPr>
              <w:t xml:space="preserve"> </w:t>
            </w:r>
            <w:r>
              <w:rPr>
                <w:rFonts w:ascii="Georgia" w:hAnsi="Georgia"/>
                <w:b/>
                <w:bCs/>
                <w:sz w:val="18"/>
              </w:rPr>
              <w:t xml:space="preserve">0.030</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8"/>
              </w:rPr>
              <w:t xml:space="preserve">100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8"/>
              </w:rPr>
              <w:t xml:space="preserve">0.927</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0.009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8"/>
              </w:rPr>
              <w:t xml:space="preserve">0.929</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0.013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8"/>
              </w:rPr>
              <w:t xml:space="preserve">0.927</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0.008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8"/>
              </w:rPr>
              <w:t xml:space="preserve">0.847</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0.019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8"/>
              </w:rPr>
              <w:t xml:space="preserve">0.857</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0.021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8"/>
              </w:rPr>
              <w:t xml:space="preserve">0.853</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0.025</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8"/>
              </w:rPr>
              <w:t xml:space="preserve">300</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8"/>
              </w:rPr>
              <w:t xml:space="preserve">0.951</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0.000</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8"/>
              </w:rPr>
              <w:t xml:space="preserve">0.951</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0.002</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8"/>
              </w:rPr>
              <w:t xml:space="preserve">0.949</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0.002</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8"/>
              </w:rPr>
              <w:t xml:space="preserve">0.876</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0.000</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8"/>
              </w:rPr>
              <w:t xml:space="preserve">0.879</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0.010</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8"/>
              </w:rPr>
              <w:t xml:space="preserve">0.877</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0.005</w:t>
            </w:r>
          </w:p>
        </w:tc>
      </w:tr>
    </w:tbl>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1" w:space="288"/>
          <w:docGrid w:linePitch="360"/>
        </w:sectPr>
      </w:pPr>
    </w:p>
    <w:p>
      <w:pPr>
        <w:pStyle w:val="BodyText"/>
        <w:jc w:val="both"/>
        <w:keepNext w:val="0"/>
        <w:keepLines w:val="0"/>
        <w:widowControl w:val="1"/>
      </w:pPr>
      <w:r>
        <w:t xml:space="preserve">Three patterns hold across the cross-domain replication.</w:t>
      </w:r>
      <w:r>
        <w:t xml:space="preserve"> </w:t>
      </w:r>
      <w:r>
        <w:rPr>
          <w:b/>
          <w:bCs/>
        </w:rPr>
        <w:t xml:space="preserve">(i) Synthetic augmentation lifts macro F1 the most at the scarce-real extreme:</w:t>
      </w:r>
      <w:r>
        <w:t xml:space="preserve"> </w:t>
      </w:r>
      <w:r>
        <w:t xml:space="preserve">at</w:t>
      </w:r>
      <w:r>
        <w:t xml:space="preserve"> </w:t>
      </w:r>
      <m:oMath>
        <m:sSub>
          <m:e>
            <m:r>
              <m:t>n</m:t>
            </m:r>
          </m:e>
          <m:sub>
            <m:r>
              <m:rPr>
                <m:nor/>
                <m:sty m:val="p"/>
              </m:rPr>
              <m:t>real</m:t>
            </m:r>
          </m:sub>
        </m:sSub>
        <m:r>
          <m:rPr>
            <m:sty m:val="p"/>
          </m:rPr>
          <m:t>=</m:t>
        </m:r>
        <m:r>
          <m:t>10</m:t>
        </m:r>
      </m:oMath>
      <w:r>
        <w:t xml:space="preserve">, every iterated condition lifts macro F1 from</w:t>
      </w:r>
      <w:r>
        <w:t xml:space="preserve"> </w:t>
      </w:r>
      <m:oMath>
        <m:r>
          <m:t>0.726</m:t>
        </m:r>
        <m:r>
          <m:rPr>
            <m:sty m:val="p"/>
          </m:rPr>
          <m:t>±</m:t>
        </m:r>
        <m:r>
          <m:t>0.052</m:t>
        </m:r>
      </m:oMath>
      <w:r>
        <w:t xml:space="preserve"> </w:t>
      </w:r>
      <w:r>
        <w:t xml:space="preserve">to</w:t>
      </w:r>
      <w:r>
        <w:t xml:space="preserve"> </w:t>
      </w:r>
      <m:oMath>
        <m:r>
          <m:rPr>
            <m:sty m:val="p"/>
          </m:rPr>
          <m:t>≈</m:t>
        </m:r>
        <m:r>
          <m:t>0.88</m:t>
        </m:r>
      </m:oMath>
      <w:r>
        <w:t xml:space="preserve"> </w:t>
      </w:r>
      <w:r>
        <w:t xml:space="preserve">(</w:t>
      </w:r>
      <m:oMath>
        <m:r>
          <m:rPr>
            <m:sty m:val="p"/>
          </m:rPr>
          <m:t>+</m:t>
        </m:r>
        <m:r>
          <m:t>0.15</m:t>
        </m:r>
      </m:oMath>
      <w:r>
        <w:t xml:space="preserve">,</w:t>
      </w:r>
      <w:r>
        <w:t xml:space="preserve"> </w:t>
      </w:r>
      <m:oMath>
        <m:r>
          <m:rPr>
            <m:sty m:val="p"/>
          </m:rPr>
          <m:t>≥</m:t>
        </m:r>
        <m:r>
          <m:t>4</m:t>
        </m:r>
        <m:r>
          <m:rPr>
            <m:sty m:val="p"/>
          </m:rPr>
          <m:t>×</m:t>
        </m:r>
      </m:oMath>
      <w:r>
        <w:t xml:space="preserve"> </w:t>
      </w:r>
      <w:r>
        <w:t xml:space="preserve">variance reduction).</w:t>
      </w:r>
      <w:r>
        <w:t xml:space="preserve"> </w:t>
      </w:r>
      <w:r>
        <w:rPr>
          <w:b/>
          <w:bCs/>
        </w:rPr>
        <w:t xml:space="preserve">(ii) The seven-critic loop and the three-critic baseline are statistically indistinguishable on Banking77.</w:t>
      </w:r>
      <w:r>
        <w:t xml:space="preserve"> </w:t>
      </w:r>
      <w:r>
        <w:t xml:space="preserve">At</w:t>
      </w:r>
      <w:r>
        <w:t xml:space="preserve"> </w:t>
      </w:r>
      <m:oMath>
        <m:sSub>
          <m:e>
            <m:r>
              <m:t>n</m:t>
            </m:r>
          </m:e>
          <m:sub>
            <m:r>
              <m:rPr>
                <m:nor/>
                <m:sty m:val="p"/>
              </m:rPr>
              <m:t>real</m:t>
            </m:r>
          </m:sub>
        </m:sSub>
        <m:r>
          <m:rPr>
            <m:sty m:val="p"/>
          </m:rPr>
          <m:t>=</m:t>
        </m:r>
        <m:r>
          <m:t>10</m:t>
        </m:r>
      </m:oMath>
      <w:r>
        <w:t xml:space="preserve"> </w:t>
      </w:r>
      <w:r>
        <w:t xml:space="preserve">Baseline-3C macro F1 is</w:t>
      </w:r>
      <w:r>
        <w:t xml:space="preserve"> </w:t>
      </w:r>
      <m:oMath>
        <m:r>
          <m:t>0.882</m:t>
        </m:r>
        <m:r>
          <m:rPr>
            <m:sty m:val="p"/>
          </m:rPr>
          <m:t>±</m:t>
        </m:r>
        <m:r>
          <m:t>0.012</m:t>
        </m:r>
      </m:oMath>
      <w:r>
        <w:t xml:space="preserve"> </w:t>
      </w:r>
      <w:r>
        <w:t xml:space="preserve">and SynSmith is</w:t>
      </w:r>
      <w:r>
        <w:t xml:space="preserve"> </w:t>
      </w:r>
      <m:oMath>
        <m:r>
          <m:t>0.876</m:t>
        </m:r>
        <m:r>
          <m:rPr>
            <m:sty m:val="p"/>
          </m:rPr>
          <m:t>±</m:t>
        </m:r>
        <m:r>
          <m:t>0.009</m:t>
        </m:r>
      </m:oMath>
      <w:r>
        <w:t xml:space="preserve"> </w:t>
      </w:r>
      <w:r>
        <w:t xml:space="preserve">(paired difference</w:t>
      </w:r>
      <w:r>
        <w:t xml:space="preserve"> </w:t>
      </w:r>
      <m:oMath>
        <m:r>
          <m:rPr>
            <m:sty m:val="p"/>
          </m:rPr>
          <m:t>−</m:t>
        </m:r>
        <m:r>
          <m:t>0.005</m:t>
        </m:r>
        <m:r>
          <m:rPr>
            <m:sty m:val="p"/>
          </m:rPr>
          <m:t>±</m:t>
        </m:r>
        <m:r>
          <m:t>0.015</m:t>
        </m:r>
      </m:oMath>
      <w:r>
        <w:t xml:space="preserve">, sign-flip</w:t>
      </w:r>
      <w:r>
        <w:t xml:space="preserve"> </w:t>
      </w:r>
      <m:oMath>
        <m:r>
          <m:t>p</m:t>
        </m:r>
        <m:r>
          <m:rPr>
            <m:sty m:val="p"/>
          </m:rPr>
          <m:t>=</m:t>
        </m:r>
        <m:r>
          <m:t>0.46</m:t>
        </m:r>
      </m:oMath>
      <w:r>
        <w:t xml:space="preserve">). The augmentation gain comes from iteration with any structured-critic stack at the solo-classifier level; the differentiation appears in the cross-condition ensemble (Section 7.3).</w:t>
      </w:r>
      <w:r>
        <w:t xml:space="preserve"> </w:t>
      </w:r>
      <w:r>
        <w:rPr>
          <w:b/>
          <w:bCs/>
        </w:rPr>
        <w:t xml:space="preserve">(iii) Worst-class F1 gains are dramatic at scarce real:</w:t>
      </w:r>
      <w:r>
        <w:t xml:space="preserve"> </w:t>
      </w:r>
      <w:r>
        <w:t xml:space="preserve">at</w:t>
      </w:r>
      <w:r>
        <w:t xml:space="preserve"> </w:t>
      </w:r>
      <m:oMath>
        <m:sSub>
          <m:e>
            <m:r>
              <m:t>n</m:t>
            </m:r>
          </m:e>
          <m:sub>
            <m:r>
              <m:rPr>
                <m:nor/>
                <m:sty m:val="p"/>
              </m:rPr>
              <m:t>real</m:t>
            </m:r>
          </m:sub>
        </m:sSub>
        <m:r>
          <m:rPr>
            <m:sty m:val="p"/>
          </m:rPr>
          <m:t>=</m:t>
        </m:r>
        <m:r>
          <m:t>10</m:t>
        </m:r>
      </m:oMath>
      <w:r>
        <w:t xml:space="preserve"> </w:t>
      </w:r>
      <w:r>
        <w:t xml:space="preserve">the iterated conditions lift worst-class F1 from</w:t>
      </w:r>
      <w:r>
        <w:t xml:space="preserve"> </w:t>
      </w:r>
      <m:oMath>
        <m:r>
          <m:t>0.319</m:t>
        </m:r>
        <m:r>
          <m:rPr>
            <m:sty m:val="p"/>
          </m:rPr>
          <m:t>±</m:t>
        </m:r>
        <m:r>
          <m:t>0.181</m:t>
        </m:r>
      </m:oMath>
      <w:r>
        <w:t xml:space="preserve"> </w:t>
      </w:r>
      <w:r>
        <w:t xml:space="preserve">to</w:t>
      </w:r>
      <w:r>
        <w:t xml:space="preserve"> </w:t>
      </w:r>
      <m:oMath>
        <m:r>
          <m:rPr>
            <m:sty m:val="p"/>
          </m:rPr>
          <m:t>≥</m:t>
        </m:r>
        <m:r>
          <m:t>0.72</m:t>
        </m:r>
      </m:oMath>
      <w:r>
        <w:t xml:space="preserve"> </w:t>
      </w:r>
      <w:r>
        <w:t xml:space="preserve">(</w:t>
      </w:r>
      <m:oMath>
        <m:r>
          <m:rPr>
            <m:sty m:val="p"/>
          </m:rPr>
          <m:t>+</m:t>
        </m:r>
        <m:r>
          <m:t>0.40</m:t>
        </m:r>
      </m:oMath>
      <w:r>
        <w:t xml:space="preserve">,</w:t>
      </w:r>
      <w:r>
        <w:t xml:space="preserve"> </w:t>
      </w:r>
      <m:oMath>
        <m:r>
          <m:rPr>
            <m:sty m:val="p"/>
          </m:rPr>
          <m:t>≥</m:t>
        </m:r>
        <m:r>
          <m:t>4</m:t>
        </m:r>
        <m:r>
          <m:rPr>
            <m:sty m:val="p"/>
          </m:rPr>
          <m:t>×</m:t>
        </m:r>
      </m:oMath>
      <w:r>
        <w:t xml:space="preserve"> </w:t>
      </w:r>
      <w:r>
        <w:t xml:space="preserve">variance reduction).</w:t>
      </w:r>
    </w:p>
    <w:p>
      <w:pPr>
        <w:pStyle w:val="BodyText"/>
        <w:jc w:val="both"/>
        <w:keepNext w:val="0"/>
        <w:keepLines w:val="0"/>
        <w:widowControl w:val="1"/>
      </w:pPr>
      <w:r>
        <w:rPr>
          <w:b/>
          <w:bCs/>
        </w:rPr>
        <w:t xml:space="preserve">Cross-domain replication of the intrinsic-model diversity decomposition.</w:t>
      </w:r>
      <w:r>
        <w:t xml:space="preserve"> </w:t>
      </w:r>
      <w:r>
        <w:t xml:space="preserve">The Scendi decomposition of Section 7.2 holds on Banking77 with a larger intrinsic share. Non-iterated Vendi mean is</w:t>
      </w:r>
      <w:r>
        <w:t xml:space="preserve"> </w:t>
      </w:r>
      <m:oMath>
        <m:r>
          <m:t>7.64</m:t>
        </m:r>
      </m:oMath>
      <w:r>
        <w:t xml:space="preserve"> </w:t>
      </w:r>
      <w:r>
        <w:t xml:space="preserve">(lower than customer-support because the</w:t>
      </w:r>
      <w:r>
        <w:t xml:space="preserve"> </w:t>
      </w:r>
      <m:oMath>
        <m:r>
          <m:t>10</m:t>
        </m:r>
      </m:oMath>
      <w:r>
        <w:t xml:space="preserve"> </w:t>
      </w:r>
      <w:r>
        <w:t xml:space="preserve">Banking77 classes share a tighter vocabulary band); iterated Vendi mean is</w:t>
      </w:r>
      <w:r>
        <w:t xml:space="preserve"> </w:t>
      </w:r>
      <m:oMath>
        <m:r>
          <m:t>11.81</m:t>
        </m:r>
      </m:oMath>
      <w:r>
        <w:t xml:space="preserve">, a</w:t>
      </w:r>
      <w:r>
        <w:t xml:space="preserve"> </w:t>
      </w:r>
      <m:oMath>
        <m:r>
          <m:rPr>
            <m:sty m:val="p"/>
          </m:rPr>
          <m:t>+</m:t>
        </m:r>
        <m:r>
          <m:t>4.0</m:t>
        </m:r>
      </m:oMath>
      <w:r>
        <w:t xml:space="preserve">-point gain. The corresponding Scendi values are</w:t>
      </w:r>
      <w:r>
        <w:t xml:space="preserve"> </w:t>
      </w:r>
      <m:oMath>
        <m:r>
          <m:t>7.64</m:t>
        </m:r>
      </m:oMath>
      <w:r>
        <w:t xml:space="preserve"> </w:t>
      </w:r>
      <w:r>
        <w:t xml:space="preserve">and</w:t>
      </w:r>
      <w:r>
        <w:t xml:space="preserve"> </w:t>
      </w:r>
      <m:oMath>
        <m:r>
          <m:t>12.85</m:t>
        </m:r>
      </m:oMath>
      <w:r>
        <w:t xml:space="preserve">, decomposing the gain as</w:t>
      </w:r>
      <w:r>
        <w:t xml:space="preserve"> </w:t>
      </w:r>
      <m:oMath>
        <m:r>
          <m:t>5.21</m:t>
        </m:r>
      </m:oMath>
      <w:r>
        <w:t xml:space="preserve"> </w:t>
      </w:r>
      <w:r>
        <w:t xml:space="preserve">points of intrinsic-model diversity (</w:t>
      </w:r>
      <m:oMath>
        <m:r>
          <m:rPr>
            <m:sty m:val="p"/>
          </m:rPr>
          <m:t>+</m:t>
        </m:r>
        <m:r>
          <m:t>131</m:t>
        </m:r>
        <m:r>
          <m:rPr>
            <m:sty m:val="p"/>
          </m:rPr>
          <m:t>%</m:t>
        </m:r>
      </m:oMath>
      <w:r>
        <w:t xml:space="preserve"> </w:t>
      </w:r>
      <w:r>
        <w:t xml:space="preserve">of the total) and a</w:t>
      </w:r>
      <w:r>
        <w:t xml:space="preserve"> </w:t>
      </w:r>
      <m:oMath>
        <m:r>
          <m:rPr>
            <m:sty m:val="p"/>
          </m:rPr>
          <m:t>−</m:t>
        </m:r>
        <m:r>
          <m:t>1.22</m:t>
        </m:r>
      </m:oMath>
      <w:r>
        <w:t xml:space="preserve">-point prompt-driven residual (</w:t>
      </w:r>
      <m:oMath>
        <m:r>
          <m:rPr>
            <m:sty m:val="p"/>
          </m:rPr>
          <m:t>−</m:t>
        </m:r>
        <m:r>
          <m:t>31</m:t>
        </m:r>
        <m:r>
          <m:rPr>
            <m:sty m:val="p"/>
          </m:rPr>
          <m:t>%</m:t>
        </m:r>
      </m:oMath>
      <w:r>
        <w:t xml:space="preserve">).</w:t>
      </w:r>
    </w:p>
    <w:bookmarkEnd w:id="193"/>
    <w:bookmarkStart w:id="198" w:name="sec-appendix-diversity"/>
    <w:p>
      <w:pPr>
        <w:pStyle w:val="Heading2"/>
        <w:keepNext/>
        <w:keepLines/>
        <w:widowControl w:val="1"/>
      </w:pPr>
      <w:r>
        <w:t xml:space="preserve">F</w:t>
      </w:r>
      <w:r>
        <w:t xml:space="preserve"> </w:t>
      </w:r>
      <w:r>
        <w:t xml:space="preserve">Appendix: Direct diversity measurements</w:t>
      </w:r>
    </w:p>
    <w:p>
      <w:pPr>
        <w:pStyle w:val="FirstParagraph"/>
        <w:jc w:val="both"/>
        <w:keepNext w:val="0"/>
        <w:keepLines w:val="0"/>
        <w:widowControl w:val="1"/>
      </w:pPr>
      <w:r>
        <w:t xml:space="preserve">To check whether the multi-classifier reading of Sections 7.3 to 7.5 is consistent with model-free direct measurements of diversity, we compute distinct-</w:t>
      </w:r>
      <m:oMath>
        <m:r>
          <m:t>n</m:t>
        </m:r>
      </m:oMath>
      <w:r>
        <w:t xml:space="preserve"> </w:t>
      </w:r>
      <w:hyperlink w:anchor="ref-li-distinct">
        <w:r>
          <w:rPr>
            <w:rStyle w:val="Hyperlink"/>
          </w:rPr>
          <w:t xml:space="preserve">[38]</w:t>
        </w:r>
      </w:hyperlink>
      <w:r>
        <w:t xml:space="preserve"> </w:t>
      </w:r>
      <w:r>
        <w:t xml:space="preserve">and self-BLEU-4 over each condition's final pooled batch (lexical surface), the Vendi score</w:t>
      </w:r>
      <w:r>
        <w:t xml:space="preserve"> </w:t>
      </w:r>
      <w:hyperlink w:anchor="ref-vendi">
        <w:r>
          <w:rPr>
            <w:rStyle w:val="Hyperlink"/>
          </w:rPr>
          <w:t xml:space="preserve">[40]</w:t>
        </w:r>
      </w:hyperlink>
      <w:r>
        <w:t xml:space="preserve"> </w:t>
      </w:r>
      <w:r>
        <w:t xml:space="preserve">on the sentence-transformer Gram matrix (semantic neighborhood), and squared MMD with RBF kernel and median bandwidth heuristic</w:t>
      </w:r>
      <w:r>
        <w:t xml:space="preserve"> </w:t>
      </w:r>
      <w:hyperlink w:anchor="ref-gretton">
        <w:r>
          <w:rPr>
            <w:rStyle w:val="Hyperlink"/>
          </w:rPr>
          <w:t xml:space="preserve">[39]</w:t>
        </w:r>
      </w:hyperlink>
      <w:r>
        <w:t xml:space="preserve"> </w:t>
      </w:r>
      <w:r>
        <w:t xml:space="preserve">(distributional distance from real).</w:t>
      </w:r>
    </w:p>
    <w:bookmarkStart w:id="194" w:name="sec-appendix-diversity-lex"/>
    <w:p>
      <w:pPr>
        <w:pStyle w:val="Heading3"/>
        <w:keepNext/>
        <w:keepLines/>
        <w:widowControl w:val="1"/>
      </w:pPr>
      <w:r>
        <w:t xml:space="preserve">F.1</w:t>
      </w:r>
      <w:r>
        <w:t xml:space="preserve"> </w:t>
      </w:r>
      <w:r>
        <w:t xml:space="preserve">Lexical surface (distinct-</w:t>
      </w:r>
      <m:oMath>
        <m:r>
          <m:t>n</m:t>
        </m:r>
      </m:oMath>
      <w:r>
        <w:t xml:space="preserve">, self-BLEU-4)</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2" w:space="288" w:equalWidth="1"/>
          <w:docGrid w:linePitch="360"/>
        </w:sectPr>
      </w:pPr>
    </w:p>
    <w:p>
      <w:pPr>
        <w:pStyle w:val="TableCaption"/>
        <w:spacing w:before="240" w:after="60" w:line="240" w:lineRule="auto"/>
        <w:jc w:val="center"/>
        <w:keepNext/>
        <w:keepLines/>
        <w:widowControl w:val="1"/>
      </w:pPr>
      <m:oMath>
        <m:r>
          <m:rPr>
            <m:sty m:val="p"/>
          </m:rPr>
          <m:t>±</m:t>
        </m:r>
      </m:oMath>
      <m:oMath>
        <m:r>
          <m:t>10</m:t>
        </m:r>
      </m:oMath>
      <m:oMath>
        <m:r>
          <m:t>n</m:t>
        </m:r>
      </m:oMath>
      <m:oMath>
        <m:r>
          <m:t>n</m:t>
        </m:r>
        <m:r>
          <m:rPr>
            <m:sty m:val="p"/>
          </m:rPr>
          <m:t>∈</m:t>
        </m:r>
        <m:r>
          <m:rPr>
            <m:sty m:val="p"/>
          </m:rPr>
          <m:t>{</m:t>
        </m:r>
        <m:r>
          <m:t>1</m:t>
        </m:r>
        <m:r>
          <m:rPr>
            <m:sty m:val="p"/>
          </m:rPr>
          <m:t>,</m:t>
        </m:r>
        <m:r>
          <m:t>2</m:t>
        </m:r>
        <m:r>
          <m:rPr>
            <m:sty m:val="p"/>
          </m:rPr>
          <m:t>,</m:t>
        </m:r>
        <m:r>
          <m:t>3</m:t>
        </m:r>
        <m:r>
          <m:rPr>
            <m:sty m:val="p"/>
          </m:rPr>
          <m:t>}</m:t>
        </m:r>
      </m:oMath>
      <m:oMath>
        <m:r>
          <m:t>4</m:t>
        </m:r>
      </m:oMath>
      <m:oMath>
        <m:r>
          <m:t>n</m:t>
        </m:r>
      </m:oMath>
      <w:r>
        <w:rPr>
          <w:b/>
          <w:i/>
        </w:rPr>
        <w:t>Table F1:</w:t>
      </w:r>
      <w:r>
        <w:rPr>
          <w:b w:val="0"/>
          <w:i/>
        </w:rPr>
        <w:t xml:space="preserve"> </w:t>
      </w:r>
      <w:r>
        <w:rPr>
          <w:b w:val="0"/>
          <w:i/>
        </w:rPr>
        <w:t>Direct lexical-diversity measurements on each condition's final pooled batch, mean  std across  seeds. Bold cells are the best per-column among iterated conditions. SynSmith has the highest distinct- for all  and the lowest self-BLEU- among the five iterated conditions, supporting the claim that the GAN-style adversaries inject lexical diversity on top of the iteration baseline. The non-iterated baselines (Naive and Few-shot) score higher on distinct- because they have not been narrowed by iterative prompt updates; Few-shot's 8-exemplar real pool contributes additional surface diversity.</w:t>
      </w:r>
    </w:p>
    <w:tbl>
      <w:tblPr>
        <w:tblStyle w:val="Table"/>
        <w:tblW w:type="pct" w:w="5000"/>
        <w:jc w:val="center"/>
        <w:tblLook w:firstRow="1" w:lastRow="0" w:firstColumn="0" w:lastColumn="0" w:noHBand="0" w:noVBand="0" w:val="0020"/>
        <w:tblCaption w:val="Table F1: Direct lexical-diversity measurements on each condition's final pooled batch, mean \pm std across 10 seeds. Bold cells are the best per-column among iterated conditions. SynSmith has the highest distinct-n for all n \in \{1, 2, 3\} and the lowest self-BLEU-4 among the five iterated conditions, supporting the claim that the GAN-style adversaries inject lexical diversity on top of the iteration baseline. The non-iterated baselines (Naive and Few-shot) score higher on distinct-n because they have not been narrowed by iterative prompt updates; Few-shot's 8-exemplar real pool contributes additional surface diversity."/>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584"/>
        <w:gridCol w:w="1584"/>
        <w:gridCol w:w="1584"/>
        <w:gridCol w:w="1584"/>
        <w:gridCol w:w="1584"/>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Condition</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distinct-1</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distinct-2</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distinct-3</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self-BLEU-4</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Naive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0.534</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0.018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0.894</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0.012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0.971</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0.008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0.147</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0.020</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Few-shot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0.526</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0.019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0.894</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0.013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0.969</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0.011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0.147</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0.018</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Self-critique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0.361</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0.020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0.781</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0.021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0.926</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0.011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0.230</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0.020</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Realism-only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0.360</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0.026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0.775</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0.027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0.925</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0.018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0.237</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0.038</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Diversity-only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0.361</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0.018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0.775</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0.020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0.921</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0.011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0.242</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0.025</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Baseline-3C</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0.364</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0.018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0.788</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0.025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0.929</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0.018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0.225</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0.032</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SynSmith</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b/>
                <w:bCs/>
                <w:sz w:val="19"/>
              </w:rPr>
              <w:t xml:space="preserve">0.371</w:t>
            </w:r>
            <w:r>
              <w:rPr>
                <w:rFonts w:ascii="Georgia" w:hAnsi="Georgia"/>
                <w:b/>
                <w:bCs/>
                <w:sz w:val="19"/>
              </w:rPr>
              <w:t xml:space="preserve"> </w:t>
            </w:r>
            <m:oMath>
              <m:r>
                <m:rPr>
                  <m:sty m:val="p"/>
                </m:rPr>
                <m:t>±</m:t>
              </m:r>
            </m:oMath>
            <w:r>
              <w:rPr>
                <w:rFonts w:ascii="Georgia" w:hAnsi="Georgia"/>
                <w:b/>
                <w:bCs/>
                <w:sz w:val="19"/>
              </w:rPr>
              <w:t xml:space="preserve"> </w:t>
            </w:r>
            <w:r>
              <w:rPr>
                <w:rFonts w:ascii="Georgia" w:hAnsi="Georgia"/>
                <w:b/>
                <w:bCs/>
                <w:sz w:val="19"/>
              </w:rPr>
              <w:t xml:space="preserve">0.027</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b/>
                <w:bCs/>
                <w:sz w:val="19"/>
              </w:rPr>
              <w:t xml:space="preserve">0.792</w:t>
            </w:r>
            <w:r>
              <w:rPr>
                <w:rFonts w:ascii="Georgia" w:hAnsi="Georgia"/>
                <w:b/>
                <w:bCs/>
                <w:sz w:val="19"/>
              </w:rPr>
              <w:t xml:space="preserve"> </w:t>
            </w:r>
            <m:oMath>
              <m:r>
                <m:rPr>
                  <m:sty m:val="p"/>
                </m:rPr>
                <m:t>±</m:t>
              </m:r>
            </m:oMath>
            <w:r>
              <w:rPr>
                <w:rFonts w:ascii="Georgia" w:hAnsi="Georgia"/>
                <w:b/>
                <w:bCs/>
                <w:sz w:val="19"/>
              </w:rPr>
              <w:t xml:space="preserve"> </w:t>
            </w:r>
            <w:r>
              <w:rPr>
                <w:rFonts w:ascii="Georgia" w:hAnsi="Georgia"/>
                <w:b/>
                <w:bCs/>
                <w:sz w:val="19"/>
              </w:rPr>
              <w:t xml:space="preserve">0.031</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b/>
                <w:bCs/>
                <w:sz w:val="19"/>
              </w:rPr>
              <w:t xml:space="preserve">0.935</w:t>
            </w:r>
            <w:r>
              <w:rPr>
                <w:rFonts w:ascii="Georgia" w:hAnsi="Georgia"/>
                <w:b/>
                <w:bCs/>
                <w:sz w:val="19"/>
              </w:rPr>
              <w:t xml:space="preserve"> </w:t>
            </w:r>
            <m:oMath>
              <m:r>
                <m:rPr>
                  <m:sty m:val="p"/>
                </m:rPr>
                <m:t>±</m:t>
              </m:r>
            </m:oMath>
            <w:r>
              <w:rPr>
                <w:rFonts w:ascii="Georgia" w:hAnsi="Georgia"/>
                <w:b/>
                <w:bCs/>
                <w:sz w:val="19"/>
              </w:rPr>
              <w:t xml:space="preserve"> </w:t>
            </w:r>
            <w:r>
              <w:rPr>
                <w:rFonts w:ascii="Georgia" w:hAnsi="Georgia"/>
                <w:b/>
                <w:bCs/>
                <w:sz w:val="19"/>
              </w:rPr>
              <w:t xml:space="preserve">0.016</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b/>
                <w:bCs/>
                <w:sz w:val="19"/>
              </w:rPr>
              <w:t xml:space="preserve">0.221</w:t>
            </w:r>
            <w:r>
              <w:rPr>
                <w:rFonts w:ascii="Georgia" w:hAnsi="Georgia"/>
                <w:b/>
                <w:bCs/>
                <w:sz w:val="19"/>
              </w:rPr>
              <w:t xml:space="preserve"> </w:t>
            </w:r>
            <m:oMath>
              <m:r>
                <m:rPr>
                  <m:sty m:val="p"/>
                </m:rPr>
                <m:t>±</m:t>
              </m:r>
            </m:oMath>
            <w:r>
              <w:rPr>
                <w:rFonts w:ascii="Georgia" w:hAnsi="Georgia"/>
                <w:b/>
                <w:bCs/>
                <w:sz w:val="19"/>
              </w:rPr>
              <w:t xml:space="preserve"> </w:t>
            </w:r>
            <w:r>
              <w:rPr>
                <w:rFonts w:ascii="Georgia" w:hAnsi="Georgia"/>
                <w:b/>
                <w:bCs/>
                <w:sz w:val="19"/>
              </w:rPr>
              <w:t xml:space="preserve">0.030</w:t>
            </w:r>
          </w:p>
        </w:tc>
      </w:tr>
    </w:tbl>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1" w:space="288"/>
          <w:docGrid w:linePitch="360"/>
        </w:sectPr>
      </w:pPr>
    </w:p>
    <w:p>
      <w:pPr>
        <w:pStyle w:val="BodyText"/>
        <w:jc w:val="both"/>
        <w:keepNext w:val="0"/>
        <w:keepLines w:val="0"/>
        <w:widowControl w:val="1"/>
      </w:pPr>
      <w:r>
        <w:t xml:space="preserve">Among the five iterated conditions, SynSmith has the best score on all four lexical measurements. The margins are small (about</w:t>
      </w:r>
      <w:r>
        <w:t xml:space="preserve"> </w:t>
      </w:r>
      <m:oMath>
        <m:r>
          <m:t>0.01</m:t>
        </m:r>
      </m:oMath>
      <w:r>
        <w:t xml:space="preserve"> </w:t>
      </w:r>
      <w:r>
        <w:t xml:space="preserve">on distinct-</w:t>
      </w:r>
      <m:oMath>
        <m:r>
          <m:t>n</m:t>
        </m:r>
      </m:oMath>
      <w:r>
        <w:t xml:space="preserve">,</w:t>
      </w:r>
      <w:r>
        <w:t xml:space="preserve"> </w:t>
      </w:r>
      <m:oMath>
        <m:r>
          <m:t>0.004</m:t>
        </m:r>
      </m:oMath>
      <w:r>
        <w:t xml:space="preserve"> </w:t>
      </w:r>
      <w:r>
        <w:t xml:space="preserve">to</w:t>
      </w:r>
      <w:r>
        <w:t xml:space="preserve"> </w:t>
      </w:r>
      <m:oMath>
        <m:r>
          <m:t>0.021</m:t>
        </m:r>
      </m:oMath>
      <w:r>
        <w:t xml:space="preserve"> </w:t>
      </w:r>
      <w:r>
        <w:t xml:space="preserve">lower on self-BLEU-4) but consistent across all four metrics and align with the post-hoc Pack Discriminator audit in Appendix G.</w:t>
      </w:r>
    </w:p>
    <w:bookmarkEnd w:id="194"/>
    <w:bookmarkStart w:id="195" w:name="sec-appendix-diversity-sem"/>
    <w:p>
      <w:pPr>
        <w:pStyle w:val="Heading3"/>
        <w:keepNext/>
        <w:keepLines/>
        <w:widowControl w:val="1"/>
      </w:pPr>
      <w:r>
        <w:t xml:space="preserve">F.2</w:t>
      </w:r>
      <w:r>
        <w:t xml:space="preserve"> </w:t>
      </w:r>
      <w:r>
        <w:t xml:space="preserve">Semantic neighborhood (Vendi score)</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2" w:space="288" w:equalWidth="1"/>
          <w:docGrid w:linePitch="360"/>
        </w:sectPr>
      </w:pPr>
    </w:p>
    <w:p>
      <w:pPr>
        <w:pStyle w:val="TableCaption"/>
        <w:spacing w:before="240" w:after="60" w:line="240" w:lineRule="auto"/>
        <w:jc w:val="center"/>
        <w:keepNext/>
        <w:keepLines/>
        <w:widowControl w:val="1"/>
      </w:pPr>
      <m:oMath>
        <m:r>
          <m:rPr>
            <m:sty m:val="p"/>
          </m:rPr>
          <m:t>±</m:t>
        </m:r>
      </m:oMath>
      <m:oMath>
        <m:r>
          <m:t>10</m:t>
        </m:r>
      </m:oMath>
      <m:oMath>
        <m:r>
          <m:t>2</m:t>
        </m:r>
        <m:r>
          <m:rPr>
            <m:sty m:val="p"/>
          </m:rPr>
          <m:t>×</m:t>
        </m:r>
      </m:oMath>
      <m:oMath>
        <m:r>
          <m:t>19.2</m:t>
        </m:r>
      </m:oMath>
      <m:oMath>
        <m:r>
          <m:t>10.0</m:t>
        </m:r>
      </m:oMath>
      <m:oMath>
        <m:r>
          <m:t>t</m:t>
        </m:r>
      </m:oMath>
      <m:oMath>
        <m:r>
          <m:t>10.0</m:t>
        </m:r>
      </m:oMath>
      <m:oMath>
        <m:r>
          <m:t>p</m:t>
        </m:r>
        <m:r>
          <m:rPr>
            <m:sty m:val="p"/>
          </m:rPr>
          <m:t>&lt;</m:t>
        </m:r>
        <m:r>
          <m:t>0.001</m:t>
        </m:r>
      </m:oMath>
      <w:r>
        <w:rPr>
          <w:b/>
          <w:i/>
        </w:rPr>
        <w:t>Table F2:</w:t>
      </w:r>
      <w:r>
        <w:rPr>
          <w:b w:val="0"/>
          <w:i/>
        </w:rPr>
        <w:t xml:space="preserve"> </w:t>
      </w:r>
      <w:r>
        <w:rPr>
          <w:b w:val="0"/>
          <w:i/>
        </w:rPr>
        <w:t>Vendi score of each condition's final pooled batch on the sentence-transformer Gram matrix, mean  std across  seeds. Iteration produces a  semantic-diversity gain over the non-iterated baselines: the iterated cluster mean is  versus the non-iterated mean of  (one-sample  versus the non-iterated mean of  gives  across the iterated cluster). SynSmith and Baseline-3C are within sampling noise of each other on this metric.</w:t>
      </w:r>
    </w:p>
    <w:tbl>
      <w:tblPr>
        <w:tblStyle w:val="Table"/>
        <w:tblW w:type="pct" w:w="5000"/>
        <w:jc w:val="center"/>
        <w:tblLook w:firstRow="1" w:lastRow="0" w:firstColumn="0" w:lastColumn="0" w:noHBand="0" w:noVBand="0" w:val="0020"/>
        <w:tblCaption w:val="Table F2: Vendi score of each condition's final pooled batch on the sentence-transformer Gram matrix, mean \pm std across 10 seeds. Iteration produces a 2\times semantic-diversity gain over the non-iterated baselines: the iterated cluster mean is 19.2 versus the non-iterated mean of 10.0 (one-sample t versus the non-iterated mean of 10.0 gives p &lt; 0.001 across the iterated cluster). SynSmith and Baseline-3C are within sampling noise of each other on this metric."/>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2640"/>
        <w:gridCol w:w="2640"/>
        <w:gridCol w:w="264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Condition</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Vendi score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Vs naive baseline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Naive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10.108</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0.818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t>1.00</m:t>
              </m:r>
              <m:r>
                <m:rPr>
                  <m:sty m:val="p"/>
                </m:rPr>
                <m:t>×</m:t>
              </m:r>
            </m:oMath>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Few-shot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9.940</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0.615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t>0.98</m:t>
              </m:r>
              <m:r>
                <m:rPr>
                  <m:sty m:val="p"/>
                </m:rPr>
                <m:t>×</m:t>
              </m:r>
            </m:oMath>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Self-critique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19.111</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1.715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t>1.89</m:t>
              </m:r>
              <m:r>
                <m:rPr>
                  <m:sty m:val="p"/>
                </m:rPr>
                <m:t>×</m:t>
              </m:r>
            </m:oMath>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Realism-only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19.407</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2.591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t>1.92</m:t>
              </m:r>
              <m:r>
                <m:rPr>
                  <m:sty m:val="p"/>
                </m:rPr>
                <m:t>×</m:t>
              </m:r>
            </m:oMath>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Diversity-only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18.703</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1.410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t>1.85</m:t>
              </m:r>
              <m:r>
                <m:rPr>
                  <m:sty m:val="p"/>
                </m:rPr>
                <m:t>×</m:t>
              </m:r>
            </m:oMath>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Baseline-3C</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19.459</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1.994</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t>1.92</m:t>
              </m:r>
              <m:r>
                <m:rPr>
                  <m:sty m:val="p"/>
                </m:rPr>
                <m:t>×</m:t>
              </m:r>
            </m:oMath>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SynSmith</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19.257</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1.751</w:t>
            </w:r>
          </w:p>
        </w:tc>
        <w:tc>
          <w:tcPr>
            <w:tcBorders>
              <w:left w:val="nil"/>
              <w:right w:val="nil"/>
              <w:top w:val="nil"/>
              <w:bottom w:val="nil"/>
            </w:tcBorders>
            <w:vAlign w:val="center"/>
          </w:tcPr>
          <w:p>
            <w:pPr>
              <w:pStyle w:val="Compact"/>
              <w:spacing w:before="0" w:after="20" w:line="240" w:lineRule="auto"/>
              <w:jc w:val="center"/>
              <w:keepNext w:val="0"/>
              <w:keepLines/>
              <w:widowControl w:val="1"/>
            </w:pPr>
            <m:oMath>
              <m:r>
                <m:t>1.91</m:t>
              </m:r>
              <m:r>
                <m:rPr>
                  <m:sty m:val="p"/>
                </m:rPr>
                <m:t>×</m:t>
              </m:r>
            </m:oMath>
          </w:p>
        </w:tc>
      </w:tr>
    </w:tbl>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1" w:space="288"/>
          <w:docGrid w:linePitch="360"/>
        </w:sectPr>
      </w:pPr>
    </w:p>
    <w:p>
      <w:pPr>
        <w:pStyle w:val="BodyText"/>
        <w:jc w:val="both"/>
        <w:keepNext w:val="0"/>
        <w:keepLines w:val="0"/>
        <w:widowControl w:val="1"/>
      </w:pPr>
      <w:r>
        <w:t xml:space="preserve">The iterated cluster opens a clean</w:t>
      </w:r>
      <w:r>
        <w:t xml:space="preserve"> </w:t>
      </w:r>
      <m:oMath>
        <m:r>
          <m:t>2</m:t>
        </m:r>
        <m:r>
          <m:rPr>
            <m:sty m:val="p"/>
          </m:rPr>
          <m:t>×</m:t>
        </m:r>
      </m:oMath>
      <w:r>
        <w:t xml:space="preserve"> </w:t>
      </w:r>
      <w:r>
        <w:t xml:space="preserve">semantic-diversity gap over the non-iterated baselines that distinct-</w:t>
      </w:r>
      <m:oMath>
        <m:r>
          <m:t>n</m:t>
        </m:r>
      </m:oMath>
      <w:r>
        <w:t xml:space="preserve"> </w:t>
      </w:r>
      <w:r>
        <w:t xml:space="preserve">does not surface: every iterated condition sits in the</w:t>
      </w:r>
      <w:r>
        <w:t xml:space="preserve"> </w:t>
      </w:r>
      <m:oMath>
        <m:r>
          <m:rPr>
            <m:sty m:val="p"/>
          </m:rPr>
          <m:t>[</m:t>
        </m:r>
        <m:r>
          <m:t>18.7</m:t>
        </m:r>
        <m:r>
          <m:rPr>
            <m:sty m:val="p"/>
          </m:rPr>
          <m:t>,</m:t>
        </m:r>
        <m:r>
          <m:t>19.5</m:t>
        </m:r>
        <m:r>
          <m:rPr>
            <m:sty m:val="p"/>
          </m:rPr>
          <m:t>]</m:t>
        </m:r>
      </m:oMath>
      <w:r>
        <w:t xml:space="preserve"> </w:t>
      </w:r>
      <w:r>
        <w:t xml:space="preserve">band, while both non-iterated conditions sit in the</w:t>
      </w:r>
      <w:r>
        <w:t xml:space="preserve"> </w:t>
      </w:r>
      <m:oMath>
        <m:r>
          <m:rPr>
            <m:sty m:val="p"/>
          </m:rPr>
          <m:t>[</m:t>
        </m:r>
        <m:r>
          <m:t>9.9</m:t>
        </m:r>
        <m:r>
          <m:rPr>
            <m:sty m:val="p"/>
          </m:rPr>
          <m:t>,</m:t>
        </m:r>
        <m:r>
          <m:t>10.1</m:t>
        </m:r>
        <m:r>
          <m:rPr>
            <m:sty m:val="p"/>
          </m:rPr>
          <m:t>]</m:t>
        </m:r>
      </m:oMath>
      <w:r>
        <w:t xml:space="preserve"> </w:t>
      </w:r>
      <w:r>
        <w:t xml:space="preserve">band. SynSmith and Baseline-3C tie on Vendi within sampling noise, indicating that the lexical-diversity advantage SynSmith shows in Table F1 lives on top of a shared semantic-diversity baseline that iteration alone provides.</w:t>
      </w:r>
    </w:p>
    <w:bookmarkEnd w:id="195"/>
    <w:bookmarkStart w:id="196" w:name="sec-appendix-diversity-decomp"/>
    <w:p>
      <w:pPr>
        <w:pStyle w:val="Heading3"/>
        <w:keepNext/>
        <w:keepLines/>
        <w:widowControl w:val="1"/>
      </w:pPr>
      <w:r>
        <w:t xml:space="preserve">F.3</w:t>
      </w:r>
      <w:r>
        <w:t xml:space="preserve"> </w:t>
      </w:r>
      <w:r>
        <w:t xml:space="preserve">Decomposing the</w:t>
      </w:r>
      <w:r>
        <w:t xml:space="preserve"> </w:t>
      </w:r>
      <m:oMath>
        <m:r>
          <m:t>2</m:t>
        </m:r>
        <m:r>
          <m:rPr>
            <m:sty m:val="p"/>
          </m:rPr>
          <m:t>×</m:t>
        </m:r>
      </m:oMath>
      <w:r>
        <w:t xml:space="preserve"> </w:t>
      </w:r>
      <w:r>
        <w:t xml:space="preserve">Vendi gain: intrinsic-model, not prompt-induced</w:t>
      </w:r>
    </w:p>
    <w:p>
      <w:pPr>
        <w:pStyle w:val="FirstParagraph"/>
        <w:jc w:val="both"/>
        <w:keepNext w:val="0"/>
        <w:keepLines w:val="0"/>
        <w:widowControl w:val="1"/>
      </w:pPr>
      <w:r>
        <w:t xml:space="preserve">Iteration could increase Vendi for two distinct reasons: (i) the critic-debugged prompt itself becomes more diverse, so the synthetic batch inherits that diversity at the prompt-conditioned level; (ii) the critic-debugged prompt unlocks model capacity that the naive prompt failed to elicit, producing intrinsically-more-diverse outputs at the same prompt-conditioned level. To decompose, we compute the Scendi score</w:t>
      </w:r>
      <w:r>
        <w:t xml:space="preserve"> </w:t>
      </w:r>
      <w:hyperlink w:anchor="ref-scendi">
        <w:r>
          <w:rPr>
            <w:rStyle w:val="Hyperlink"/>
          </w:rPr>
          <w:t xml:space="preserve">[37]</w:t>
        </w:r>
      </w:hyperlink>
      <w:r>
        <w:t xml:space="preserve"> </w:t>
      </w:r>
      <w:r>
        <w:t xml:space="preserve">on each condition's sentence-transformer Gram matrix, conditioning on the per-iteration prompt embedding. The Scendi score is the Vendi of the Schur-complemented kernel that removes the prompt-induced rank-1 projection from the joint kernel, formally separating intrinsic-model diversity from prompt-driven diversity in the same sense the conditional Vendi decomposition</w:t>
      </w:r>
      <w:r>
        <w:t xml:space="preserve"> </w:t>
      </w:r>
      <w:hyperlink w:anchor="ref-condvendi">
        <w:r>
          <w:rPr>
            <w:rStyle w:val="Hyperlink"/>
          </w:rPr>
          <w:t xml:space="preserve">[44]</w:t>
        </w:r>
      </w:hyperlink>
      <w:r>
        <w:t xml:space="preserve"> </w:t>
      </w:r>
      <w:r>
        <w:t xml:space="preserve">makes information-theoretically precise as</w:t>
      </w:r>
      <w:r>
        <w:t xml:space="preserve"> </w:t>
      </w:r>
      <m:oMath>
        <m:r>
          <m:t>H</m:t>
        </m:r>
        <m:r>
          <m:rPr>
            <m:sty m:val="p"/>
          </m:rPr>
          <m:t>(</m:t>
        </m:r>
        <m:r>
          <m:t>X</m:t>
        </m:r>
        <m:r>
          <m:rPr>
            <m:sty m:val="p"/>
          </m:rPr>
          <m:t>)</m:t>
        </m:r>
        <m:r>
          <m:rPr>
            <m:sty m:val="p"/>
          </m:rPr>
          <m:t>=</m:t>
        </m:r>
        <m:r>
          <m:t>H</m:t>
        </m:r>
        <m:r>
          <m:rPr>
            <m:sty m:val="p"/>
          </m:rPr>
          <m:t>(</m:t>
        </m:r>
        <m:r>
          <m:t>X</m:t>
        </m:r>
        <m:r>
          <m:rPr>
            <m:sty m:val="p"/>
          </m:rPr>
          <m:t>|</m:t>
        </m:r>
        <m:r>
          <m:t>T</m:t>
        </m:r>
        <m:r>
          <m:rPr>
            <m:sty m:val="p"/>
          </m:rPr>
          <m:t>)</m:t>
        </m:r>
        <m:r>
          <m:rPr>
            <m:sty m:val="p"/>
          </m:rPr>
          <m:t>+</m:t>
        </m:r>
        <m:r>
          <m:t>I</m:t>
        </m:r>
        <m:r>
          <m:rPr>
            <m:sty m:val="p"/>
          </m:rPr>
          <m:t>(</m:t>
        </m:r>
        <m:r>
          <m:t>X</m:t>
        </m:r>
        <m:r>
          <m:rPr>
            <m:sty m:val="p"/>
          </m:rPr>
          <m:t>;</m:t>
        </m:r>
        <m:r>
          <m:t>T</m:t>
        </m:r>
        <m:r>
          <m:rPr>
            <m:sty m:val="p"/>
          </m:rPr>
          <m:t>)</m:t>
        </m:r>
      </m:oMath>
      <w:r>
        <w:t xml:space="preserve">. The non-iterated mean Scendi is</w:t>
      </w:r>
      <w:r>
        <w:t xml:space="preserve"> </w:t>
      </w:r>
      <m:oMath>
        <m:r>
          <m:t>10.03</m:t>
        </m:r>
      </m:oMath>
      <w:r>
        <w:t xml:space="preserve">, the iterated cluster mean is</w:t>
      </w:r>
      <w:r>
        <w:t xml:space="preserve"> </w:t>
      </w:r>
      <m:oMath>
        <m:r>
          <m:t>19.40</m:t>
        </m:r>
      </m:oMath>
      <w:r>
        <w:t xml:space="preserve">. The two cluster means are identical to the corresponding Vendi means within</w:t>
      </w:r>
      <w:r>
        <w:t xml:space="preserve"> </w:t>
      </w:r>
      <m:oMath>
        <m:r>
          <m:t>0.02</m:t>
        </m:r>
      </m:oMath>
      <w:r>
        <w:t xml:space="preserve">: the iterated-vs-non-iterated</w:t>
      </w:r>
      <w:r>
        <w:t xml:space="preserve"> </w:t>
      </w:r>
      <m:oMath>
        <m:r>
          <m:t>9.16</m:t>
        </m:r>
      </m:oMath>
      <w:r>
        <w:t xml:space="preserve">-point gain in Vendi decomposes into</w:t>
      </w:r>
      <w:r>
        <w:t xml:space="preserve"> </w:t>
      </w:r>
      <m:oMath>
        <m:r>
          <m:t>9.37</m:t>
        </m:r>
      </m:oMath>
      <w:r>
        <w:t xml:space="preserve"> </w:t>
      </w:r>
      <w:r>
        <w:t xml:space="preserve">points of intrinsic-model gain (</w:t>
      </w:r>
      <m:oMath>
        <m:r>
          <m:rPr>
            <m:sty m:val="p"/>
          </m:rPr>
          <m:t>+</m:t>
        </m:r>
        <m:r>
          <m:t>102</m:t>
        </m:r>
        <m:r>
          <m:rPr>
            <m:sty m:val="p"/>
          </m:rPr>
          <m:t>%</m:t>
        </m:r>
      </m:oMath>
      <w:r>
        <w:t xml:space="preserve"> </w:t>
      </w:r>
      <w:r>
        <w:t xml:space="preserve">of the total) and a</w:t>
      </w:r>
      <w:r>
        <w:t xml:space="preserve"> </w:t>
      </w:r>
      <m:oMath>
        <m:r>
          <m:rPr>
            <m:sty m:val="p"/>
          </m:rPr>
          <m:t>−</m:t>
        </m:r>
        <m:r>
          <m:t>0.20</m:t>
        </m:r>
      </m:oMath>
      <w:r>
        <w:t xml:space="preserve">-point prompt-driven residual (</w:t>
      </w:r>
      <m:oMath>
        <m:r>
          <m:rPr>
            <m:sty m:val="p"/>
          </m:rPr>
          <m:t>−</m:t>
        </m:r>
        <m:r>
          <m:t>2</m:t>
        </m:r>
        <m:r>
          <m:rPr>
            <m:sty m:val="p"/>
          </m:rPr>
          <m:t>%</m:t>
        </m:r>
      </m:oMath>
      <w:r>
        <w:t xml:space="preserve"> </w:t>
      </w:r>
      <w:r>
        <w:t xml:space="preserve">of the total). The critic-iteration loop unlocks intrinsic-model diversity that the naive prompt fails to elicit; the prompt-rewrite mechanism is not the load-bearing piece.</w:t>
      </w:r>
    </w:p>
    <w:bookmarkEnd w:id="196"/>
    <w:bookmarkStart w:id="197" w:name="sec-appendix-diversity-mmd"/>
    <w:p>
      <w:pPr>
        <w:pStyle w:val="Heading3"/>
        <w:keepNext/>
        <w:keepLines/>
        <w:widowControl w:val="1"/>
      </w:pPr>
      <w:r>
        <w:t xml:space="preserve">F.4</w:t>
      </w:r>
      <w:r>
        <w:t xml:space="preserve"> </w:t>
      </w:r>
      <w:r>
        <w:t xml:space="preserve">Distributional distance from real (squared MMD)</w:t>
      </w:r>
    </w:p>
    <w:p>
      <w:pPr>
        <w:pStyle w:val="FirstParagraph"/>
        <w:jc w:val="both"/>
        <w:keepNext w:val="0"/>
        <w:keepLines w:val="0"/>
        <w:widowControl w:val="1"/>
      </w:pPr>
      <w:r>
        <w:t xml:space="preserve">We compute squared MMD with RBF kernel and median bandwidth heuristic between each condition's pooled synthetic batch (</w:t>
      </w:r>
      <m:oMath>
        <m:r>
          <m:t>48</m:t>
        </m:r>
      </m:oMath>
      <w:r>
        <w:t xml:space="preserve"> </w:t>
      </w:r>
      <w:r>
        <w:t xml:space="preserve">samples for iterated conditions) and the real seed set (</w:t>
      </w:r>
      <m:oMath>
        <m:r>
          <m:t>30</m:t>
        </m:r>
      </m:oMath>
      <w:r>
        <w:t xml:space="preserve"> </w:t>
      </w:r>
      <w:r>
        <w:t xml:space="preserve">samples), under three downstream feature spaces. The paired difference (SynSmith minus Baseline-3C) is</w:t>
      </w:r>
      <w:r>
        <w:t xml:space="preserve"> </w:t>
      </w:r>
      <m:oMath>
        <m:r>
          <m:rPr>
            <m:sty m:val="p"/>
          </m:rPr>
          <m:t>−</m:t>
        </m:r>
        <m:r>
          <m:t>0.0010</m:t>
        </m:r>
        <m:r>
          <m:rPr>
            <m:sty m:val="p"/>
          </m:rPr>
          <m:t>±</m:t>
        </m:r>
        <m:r>
          <m:t>0.0024</m:t>
        </m:r>
      </m:oMath>
      <w:r>
        <w:t xml:space="preserve"> </w:t>
      </w:r>
      <w:r>
        <w:t xml:space="preserve">under TF-IDF word,</w:t>
      </w:r>
      <w:r>
        <w:t xml:space="preserve"> </w:t>
      </w:r>
      <m:oMath>
        <m:r>
          <m:rPr>
            <m:sty m:val="p"/>
          </m:rPr>
          <m:t>−</m:t>
        </m:r>
        <m:r>
          <m:t>0.0026</m:t>
        </m:r>
        <m:r>
          <m:rPr>
            <m:sty m:val="p"/>
          </m:rPr>
          <m:t>±</m:t>
        </m:r>
        <m:r>
          <m:t>0.0038</m:t>
        </m:r>
      </m:oMath>
      <w:r>
        <w:t xml:space="preserve"> </w:t>
      </w:r>
      <w:r>
        <w:t xml:space="preserve">under TF-IDF char</w:t>
      </w:r>
      <w:r>
        <w:t xml:space="preserve"> </w:t>
      </w:r>
      <m:oMath>
        <m:r>
          <m:t>3</m:t>
        </m:r>
      </m:oMath>
      <w:r>
        <w:t xml:space="preserve">-</w:t>
      </w:r>
      <m:oMath>
        <m:r>
          <m:t>5</m:t>
        </m:r>
      </m:oMath>
      <w:r>
        <w:t xml:space="preserve"> </w:t>
      </w:r>
      <w:r>
        <w:t xml:space="preserve">(paired-t</w:t>
      </w:r>
      <w:r>
        <w:t xml:space="preserve"> </w:t>
      </w:r>
      <m:oMath>
        <m:r>
          <m:t>p</m:t>
        </m:r>
        <m:r>
          <m:rPr>
            <m:sty m:val="p"/>
          </m:rPr>
          <m:t>=</m:t>
        </m:r>
        <m:r>
          <m:t>0.060</m:t>
        </m:r>
      </m:oMath>
      <w:r>
        <w:t xml:space="preserve">, closest of the three to conventional significance), and</w:t>
      </w:r>
      <w:r>
        <w:t xml:space="preserve"> </w:t>
      </w:r>
      <m:oMath>
        <m:r>
          <m:rPr>
            <m:sty m:val="p"/>
          </m:rPr>
          <m:t>−</m:t>
        </m:r>
        <m:r>
          <m:t>0.0005</m:t>
        </m:r>
        <m:r>
          <m:rPr>
            <m:sty m:val="p"/>
          </m:rPr>
          <m:t>±</m:t>
        </m:r>
        <m:r>
          <m:t>0.0089</m:t>
        </m:r>
      </m:oMath>
      <w:r>
        <w:t xml:space="preserve"> </w:t>
      </w:r>
      <w:r>
        <w:t xml:space="preserve">under sentence-transformer. The character</w:t>
      </w:r>
      <w:r>
        <w:t xml:space="preserve"> </w:t>
      </w:r>
      <m:oMath>
        <m:r>
          <m:t>3</m:t>
        </m:r>
      </m:oMath>
      <w:r>
        <w:t xml:space="preserve">-</w:t>
      </w:r>
      <m:oMath>
        <m:r>
          <m:t>5</m:t>
        </m:r>
      </m:oMath>
      <w:r>
        <w:t xml:space="preserve"> </w:t>
      </w:r>
      <w:r>
        <w:t xml:space="preserve">feature space is the one most sensitive to lexical surface variation; SynSmith's batches are slightly closer to real than Baseline-3C's there, consistent with the distinct-</w:t>
      </w:r>
      <m:oMath>
        <m:r>
          <m:t>n</m:t>
        </m:r>
      </m:oMath>
      <w:r>
        <w:t xml:space="preserve"> </w:t>
      </w:r>
      <w:r>
        <w:t xml:space="preserve">ordering in Table F1.</w:t>
      </w:r>
    </w:p>
    <w:bookmarkEnd w:id="197"/>
    <w:bookmarkEnd w:id="198"/>
    <w:bookmarkStart w:id="201" w:name="sec-appendix-ablations"/>
    <w:p>
      <w:pPr>
        <w:pStyle w:val="Heading2"/>
        <w:keepNext/>
        <w:keepLines/>
        <w:widowControl w:val="1"/>
      </w:pPr>
      <w:r>
        <w:t xml:space="preserve">H</w:t>
      </w:r>
      <w:r>
        <w:t xml:space="preserve"> </w:t>
      </w:r>
      <w:r>
        <w:t xml:space="preserve">Appendix: Ablation studies (customer-support)</w:t>
      </w:r>
    </w:p>
    <w:p>
      <w:pPr>
        <w:pStyle w:val="FirstParagraph"/>
        <w:jc w:val="both"/>
        <w:keepNext w:val="0"/>
        <w:keepLines w:val="0"/>
        <w:widowControl w:val="1"/>
      </w:pPr>
      <w:r>
        <w:t xml:space="preserve">This appendix carries the two ablation studies that Section 7.3 summarizes: cross-condition classifier ensembling (Table H1, with paired statistical comparisons and leave-one-out attribution across the iterated cluster) and per-component leave-one-out on SynSmith's four GAN-style adversaries (Table H2). All numbers are on customer-support intent classification at</w:t>
      </w:r>
      <w:r>
        <w:t xml:space="preserve"> </w:t>
      </w:r>
      <m:oMath>
        <m:r>
          <m:t>N</m:t>
        </m:r>
        <m:r>
          <m:rPr>
            <m:sty m:val="p"/>
          </m:rPr>
          <m:t>=</m:t>
        </m:r>
        <m:r>
          <m:t>10</m:t>
        </m:r>
      </m:oMath>
      <w:r>
        <w:t xml:space="preserve"> </w:t>
      </w:r>
      <w:r>
        <w:t xml:space="preserve">seeds, identical setup to the body experiments.</w:t>
      </w:r>
    </w:p>
    <w:bookmarkStart w:id="199" w:name="Xdeb5b15432fa2dec13e22bea7a503c020756125"/>
    <w:p>
      <w:pPr>
        <w:pStyle w:val="Heading3"/>
        <w:keepNext/>
        <w:keepLines/>
        <w:widowControl w:val="1"/>
      </w:pPr>
      <w:r>
        <w:t xml:space="preserve">H.1</w:t>
      </w:r>
      <w:r>
        <w:t xml:space="preserve"> </w:t>
      </w:r>
      <w:r>
        <w:t xml:space="preserve">Cross-condition classifier ensembling</w:t>
      </w:r>
    </w:p>
    <w:p>
      <w:pPr>
        <w:pStyle w:val="FirstParagraph"/>
        <w:jc w:val="both"/>
        <w:keepNext w:val="0"/>
        <w:keepLines w:val="0"/>
        <w:widowControl w:val="1"/>
      </w:pPr>
      <w:r>
        <w:t xml:space="preserve">Per-class augmentation F1 at</w:t>
      </w:r>
      <w:r>
        <w:t xml:space="preserve"> </w:t>
      </w:r>
      <m:oMath>
        <m:r>
          <m:t>N</m:t>
        </m:r>
        <m:r>
          <m:rPr>
            <m:sty m:val="p"/>
          </m:rPr>
          <m:t>=</m:t>
        </m:r>
        <m:r>
          <m:t>10</m:t>
        </m:r>
      </m:oMath>
      <w:r>
        <w:t xml:space="preserve"> </w:t>
      </w:r>
      <w:r>
        <w:t xml:space="preserve">has standard deviation</w:t>
      </w:r>
      <w:r>
        <w:t xml:space="preserve"> </w:t>
      </w:r>
      <m:oMath>
        <m:r>
          <m:rPr>
            <m:sty m:val="p"/>
          </m:rPr>
          <m:t>≥</m:t>
        </m:r>
        <m:r>
          <m:t>0.27</m:t>
        </m:r>
      </m:oMath>
      <w:r>
        <w:t xml:space="preserve"> </w:t>
      </w:r>
      <w:r>
        <w:t xml:space="preserve">on the hardest class (</w:t>
      </w:r>
      <w:r>
        <w:rPr>
          <w:rStyle w:val="VerbatimChar"/>
        </w:rPr>
        <w:t xml:space="preserve">complaint</w:t>
      </w:r>
      <w:r>
        <w:t xml:space="preserve">) for every iterated condition. The conditions saturate near the macro-F1 ceiling individually (</w:t>
      </w:r>
      <w:hyperlink w:anchor="sec-appendix-augmentation">
        <w:r>
          <w:rPr>
            <w:rStyle w:val="Hyperlink"/>
          </w:rPr>
          <w:t xml:space="preserve">Appendix D</w:t>
        </w:r>
      </w:hyperlink>
      <w:r>
        <w:t xml:space="preserve">), and direct lexical and semantic diversity measurements (Section 7.2 and</w:t>
      </w:r>
      <w:r>
        <w:t xml:space="preserve"> </w:t>
      </w:r>
      <w:hyperlink w:anchor="sec-appendix-diversity">
        <w:r>
          <w:rPr>
            <w:rStyle w:val="Hyperlink"/>
          </w:rPr>
          <w:t xml:space="preserve">Appendix F</w:t>
        </w:r>
      </w:hyperlink>
      <w:r>
        <w:t xml:space="preserve">) confirm each iterated condition occupies a different region of input space. Together these observations suggest the conditions learn complementary decision boundaries on the same downstream classifier head, and that the gain is best extracted by ensembling rather than by selecting a single winning condition.</w:t>
      </w:r>
    </w:p>
    <w:p>
      <w:pPr>
        <w:pStyle w:val="BodyText"/>
        <w:jc w:val="both"/>
        <w:keepNext w:val="0"/>
        <w:keepLines w:val="0"/>
        <w:widowControl w:val="1"/>
      </w:pPr>
      <w:r>
        <w:t xml:space="preserve">We test this directly. For every pair of iterated conditions</w:t>
      </w:r>
      <w:r>
        <w:t xml:space="preserve"> </w:t>
      </w:r>
      <m:oMath>
        <m:r>
          <m:rPr>
            <m:sty m:val="p"/>
          </m:rPr>
          <m:t>(</m:t>
        </m:r>
        <m:sSub>
          <m:e>
            <m:r>
              <m:t>c</m:t>
            </m:r>
          </m:e>
          <m:sub>
            <m:r>
              <m:t>a</m:t>
            </m:r>
          </m:sub>
        </m:sSub>
        <m:r>
          <m:rPr>
            <m:sty m:val="p"/>
          </m:rPr>
          <m:t>,</m:t>
        </m:r>
        <m:sSub>
          <m:e>
            <m:r>
              <m:t>c</m:t>
            </m:r>
          </m:e>
          <m:sub>
            <m:r>
              <m:t>b</m:t>
            </m:r>
          </m:sub>
        </m:sSub>
        <m:r>
          <m:rPr>
            <m:sty m:val="p"/>
          </m:rPr>
          <m:t>)</m:t>
        </m:r>
      </m:oMath>
      <w:r>
        <w:t xml:space="preserve">, we train a sentence-transformer</w:t>
      </w:r>
      <w:r>
        <w:t xml:space="preserve"> </w:t>
      </w:r>
      <m:oMath>
        <m:r>
          <m:rPr>
            <m:sty m:val="p"/>
          </m:rPr>
          <m:t>+</m:t>
        </m:r>
      </m:oMath>
      <w:r>
        <w:t xml:space="preserve"> </w:t>
      </w:r>
      <w:r>
        <w:t xml:space="preserve">logistic regression classifier on real-train</w:t>
      </w:r>
      <w:r>
        <w:t xml:space="preserve"> </w:t>
      </w:r>
      <m:oMath>
        <m:r>
          <m:rPr>
            <m:sty m:val="p"/>
          </m:rPr>
          <m:t>∪</m:t>
        </m:r>
      </m:oMath>
      <w:r>
        <w:t xml:space="preserve"> </w:t>
      </w:r>
      <w:r>
        <w:t xml:space="preserve">synthetic-batch</w:t>
      </w:r>
      <m:oMath>
        <m:r>
          <m:rPr>
            <m:sty m:val="p"/>
          </m:rPr>
          <m:t>(</m:t>
        </m:r>
        <m:sSub>
          <m:e>
            <m:r>
              <m:t>c</m:t>
            </m:r>
          </m:e>
          <m:sub>
            <m:r>
              <m:t>a</m:t>
            </m:r>
          </m:sub>
        </m:sSub>
        <m:r>
          <m:rPr>
            <m:sty m:val="p"/>
          </m:rPr>
          <m:t>)</m:t>
        </m:r>
      </m:oMath>
      <w:r>
        <w:t xml:space="preserve"> </w:t>
      </w:r>
      <w:r>
        <w:t xml:space="preserve">and another on real-train</w:t>
      </w:r>
      <w:r>
        <w:t xml:space="preserve"> </w:t>
      </w:r>
      <m:oMath>
        <m:r>
          <m:rPr>
            <m:sty m:val="p"/>
          </m:rPr>
          <m:t>∪</m:t>
        </m:r>
      </m:oMath>
      <w:r>
        <w:t xml:space="preserve"> </w:t>
      </w:r>
      <w:r>
        <w:t xml:space="preserve">synthetic-batch</w:t>
      </w:r>
      <m:oMath>
        <m:r>
          <m:rPr>
            <m:sty m:val="p"/>
          </m:rPr>
          <m:t>(</m:t>
        </m:r>
        <m:sSub>
          <m:e>
            <m:r>
              <m:t>c</m:t>
            </m:r>
          </m:e>
          <m:sub>
            <m:r>
              <m:t>b</m:t>
            </m:r>
          </m:sub>
        </m:sSub>
        <m:r>
          <m:rPr>
            <m:sty m:val="p"/>
          </m:rPr>
          <m:t>)</m:t>
        </m:r>
      </m:oMath>
      <w:r>
        <w:t xml:space="preserve">, then average their predicted log-probabilities on the held-out real test set and take the argmax. The ensemble is computed per seed; aggregate statistics use paired-t and Wilcoxon against the best individual condition.</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2" w:space="288" w:equalWidth="1"/>
          <w:docGrid w:linePitch="360"/>
        </w:sectPr>
      </w:pPr>
    </w:p>
    <w:p>
      <w:pPr>
        <w:pStyle w:val="TableCaption"/>
        <w:spacing w:before="240" w:after="60" w:line="240" w:lineRule="auto"/>
        <w:jc w:val="center"/>
        <w:keepNext/>
        <w:keepLines/>
        <w:widowControl w:val="1"/>
      </w:pPr>
      <m:oMath>
        <m:r>
          <m:t>N</m:t>
        </m:r>
        <m:r>
          <m:rPr>
            <m:sty m:val="p"/>
          </m:rPr>
          <m:t>=</m:t>
        </m:r>
        <m:r>
          <m:t>10</m:t>
        </m:r>
      </m:oMath>
      <m:oMath>
        <m:r>
          <m:rPr>
            <m:sty m:val="p"/>
          </m:rPr>
          <m:t>±</m:t>
        </m:r>
      </m:oMath>
      <m:oMath>
        <m:r>
          <m:t>10</m:t>
        </m:r>
      </m:oMath>
      <m:oMath>
        <m:r>
          <m:t>0.947</m:t>
        </m:r>
        <m:r>
          <m:rPr>
            <m:sty m:val="p"/>
          </m:rPr>
          <m:t>±</m:t>
        </m:r>
        <m:r>
          <m:t>0.056</m:t>
        </m:r>
      </m:oMath>
      <m:oMath>
        <m:r>
          <m:t>0.833</m:t>
        </m:r>
        <m:r>
          <m:rPr>
            <m:sty m:val="p"/>
          </m:rPr>
          <m:t>±</m:t>
        </m:r>
        <m:r>
          <m:t>0.176</m:t>
        </m:r>
      </m:oMath>
      <m:oMath>
        <m:r>
          <m:t>0.911</m:t>
        </m:r>
        <m:r>
          <m:rPr>
            <m:sty m:val="p"/>
          </m:rPr>
          <m:t>±</m:t>
        </m:r>
        <m:r>
          <m:t>0.092</m:t>
        </m:r>
      </m:oMath>
      <m:oMath>
        <m:r>
          <m:t>0.733</m:t>
        </m:r>
        <m:r>
          <m:rPr>
            <m:sty m:val="p"/>
          </m:rPr>
          <m:t>±</m:t>
        </m:r>
        <m:r>
          <m:t>0.306</m:t>
        </m:r>
      </m:oMath>
      <m:oMath>
        <m:r>
          <m:rPr>
            <m:sty m:val="p"/>
          </m:rPr>
          <m:t>+</m:t>
        </m:r>
        <m:r>
          <m:t>0.036</m:t>
        </m:r>
      </m:oMath>
      <m:oMath>
        <m:r>
          <m:t>1.65</m:t>
        </m:r>
        <m:r>
          <m:rPr>
            <m:sty m:val="p"/>
          </m:rPr>
          <m:t>×</m:t>
        </m:r>
      </m:oMath>
      <m:oMath>
        <m:sSub>
          <m:e>
            <m:r>
              <m:t>σ</m:t>
            </m:r>
          </m:e>
          <m:sub>
            <m:r>
              <m:rPr>
                <m:nor/>
                <m:sty m:val="p"/>
              </m:rPr>
              <m:t>ens</m:t>
            </m:r>
          </m:sub>
        </m:sSub>
        <m:r>
          <m:rPr>
            <m:sty m:val="p"/>
          </m:rPr>
          <m:t>=</m:t>
        </m:r>
        <m:r>
          <m:t>0.056</m:t>
        </m:r>
      </m:oMath>
      <m:oMath>
        <m:sSub>
          <m:e>
            <m:r>
              <m:t>σ</m:t>
            </m:r>
          </m:e>
          <m:sub>
            <m:r>
              <m:rPr>
                <m:nor/>
                <m:sty m:val="p"/>
              </m:rPr>
              <m:t>solo</m:t>
            </m:r>
          </m:sub>
        </m:sSub>
        <m:r>
          <m:rPr>
            <m:sty m:val="p"/>
          </m:rPr>
          <m:t>=</m:t>
        </m:r>
        <m:r>
          <m:t>0.092</m:t>
        </m:r>
      </m:oMath>
      <m:oMath>
        <m:r>
          <m:rPr>
            <m:sty m:val="p"/>
          </m:rPr>
          <m:t>+</m:t>
        </m:r>
        <m:r>
          <m:t>0.100</m:t>
        </m:r>
      </m:oMath>
      <m:oMath>
        <m:r>
          <m:t>1.74</m:t>
        </m:r>
        <m:r>
          <m:rPr>
            <m:sty m:val="p"/>
          </m:rPr>
          <m:t>×</m:t>
        </m:r>
      </m:oMath>
      <w:r>
        <w:rPr>
          <w:b/>
          <w:i/>
        </w:rPr>
        <w:t>Table H1:</w:t>
      </w:r>
      <w:r>
        <w:rPr>
          <w:b w:val="0"/>
          <w:i/>
        </w:rPr>
        <w:t xml:space="preserve"> </w:t>
      </w:r>
      <w:r>
        <w:rPr>
          <w:b w:val="0"/>
          <w:i/>
        </w:rPr>
        <w:t>Cross-condition classifier ensembling on customer-support intent classification at  seeds. Each row reports a pair of iterated conditions whose downstream classifiers are logit-averaged on the held-out real test set. Mean  std across  seeds. The top two pairs tie at macro F1  and worst-class F1 ; both contain Self-critique as the simplest iterated condition, and one of them contains the seven-critic loop (SynSmith). The best individual condition (Realism-only) reaches macro F1  and worst-class F1 , so the ensemble matches or improves on every comparison:  macro F1 (mean diff),  variance reduction in macro F1 ( vs ),  worst-class F1, and  variance reduction in worst-class F1.</w:t>
      </w:r>
    </w:p>
    <w:tbl>
      <w:tblPr>
        <w:tblStyle w:val="Table"/>
        <w:tblW w:type="pct" w:w="5000"/>
        <w:jc w:val="center"/>
        <w:tblLook w:firstRow="1" w:lastRow="0" w:firstColumn="0" w:lastColumn="0" w:noHBand="0" w:noVBand="0" w:val="0020"/>
        <w:tblCaption w:val="Table H1: Cross-condition classifier ensembling on customer-support intent classification at N = 10 seeds. Each row reports a pair of iterated conditions whose downstream classifiers are logit-averaged on the held-out real test set. Mean \pm std across 10 seeds. The top two pairs tie at macro F1 0.947 \pm 0.056 and worst-class F1 0.833 \pm 0.176; both contain Self-critique as the simplest iterated condition, and one of them contains the seven-critic loop (SynSmith). The best individual condition (Realism-only) reaches macro F1 0.911 \pm 0.092 and worst-class F1 0.733 \pm 0.306, so the ensemble matches or improves on every comparison: +0.036 macro F1 (mean diff), 1.65\times variance reduction in macro F1 (\sigma_{\text{ens}} = 0.056 vs \sigma_{\text{solo}} = 0.092), +0.100 worst-class F1, and 1.74\times variance reduction in worst-class F1."/>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980"/>
        <w:gridCol w:w="1980"/>
        <w:gridCol w:w="1980"/>
        <w:gridCol w:w="198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Pair</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Macro F1</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Worst-class F1</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Macro gain</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Self-critique + SynSmith</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b/>
                <w:bCs/>
                <w:sz w:val="19"/>
              </w:rPr>
              <w:t xml:space="preserve">0.947</w:t>
            </w:r>
            <w:r>
              <w:rPr>
                <w:rFonts w:ascii="Georgia" w:hAnsi="Georgia"/>
                <w:b/>
                <w:bCs/>
                <w:sz w:val="19"/>
              </w:rPr>
              <w:t xml:space="preserve"> </w:t>
            </w:r>
            <m:oMath>
              <m:r>
                <m:rPr>
                  <m:sty m:val="p"/>
                </m:rPr>
                <m:t>±</m:t>
              </m:r>
            </m:oMath>
            <w:r>
              <w:rPr>
                <w:rFonts w:ascii="Georgia" w:hAnsi="Georgia"/>
                <w:b/>
                <w:bCs/>
                <w:sz w:val="19"/>
              </w:rPr>
              <w:t xml:space="preserve"> </w:t>
            </w:r>
            <w:r>
              <w:rPr>
                <w:rFonts w:ascii="Georgia" w:hAnsi="Georgia"/>
                <w:b/>
                <w:bCs/>
                <w:sz w:val="19"/>
              </w:rPr>
              <w:t xml:space="preserve">0.056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b/>
                <w:bCs/>
                <w:sz w:val="19"/>
              </w:rPr>
              <w:t xml:space="preserve">0.833</w:t>
            </w:r>
            <w:r>
              <w:rPr>
                <w:rFonts w:ascii="Georgia" w:hAnsi="Georgia"/>
                <w:b/>
                <w:bCs/>
                <w:sz w:val="19"/>
              </w:rPr>
              <w:t xml:space="preserve"> </w:t>
            </w:r>
            <m:oMath>
              <m:r>
                <m:rPr>
                  <m:sty m:val="p"/>
                </m:rPr>
                <m:t>±</m:t>
              </m:r>
            </m:oMath>
            <w:r>
              <w:rPr>
                <w:rFonts w:ascii="Georgia" w:hAnsi="Georgia"/>
                <w:b/>
                <w:bCs/>
                <w:sz w:val="19"/>
              </w:rPr>
              <w:t xml:space="preserve"> </w:t>
            </w:r>
            <w:r>
              <w:rPr>
                <w:rFonts w:ascii="Georgia" w:hAnsi="Georgia"/>
                <w:b/>
                <w:bCs/>
                <w:sz w:val="19"/>
              </w:rPr>
              <w:t xml:space="preserve">0.176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+0.036 vs best solo</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Self-critique + Diversity-only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0.947</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0.056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0.833</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0.176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+0.036 vs best solo</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Self-critique + Realism-only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0.931</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0.087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0.767</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0.316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+0.020 vs best solo</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Self-critique + Baseline-3C</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0.931</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0.087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0.767</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0.316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+0.020 vs best solo</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Realism-only + Diversity-only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0.931</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0.087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0.767</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0.316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+0.020 vs best solo</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Baseline-3C + SynSmith</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0.909</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0.080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0.700</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0.292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+0.036 vs SynSmith solo</w:t>
            </w:r>
          </w:p>
        </w:tc>
      </w:tr>
      <w:tr>
        <w:tc>
          <w:tcPr>
            <w:gridSpan w:val="4"/>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i/>
                <w:iCs/>
                <w:sz w:val="19"/>
              </w:rPr>
              <w:t xml:space="preserve">Best individual condition: Realism-only solo</w:t>
            </w:r>
            <w:r>
              <w:rPr>
                <w:rFonts w:ascii="Georgia" w:hAnsi="Georgia"/>
                <w:i/>
                <w:iCs/>
                <w:sz w:val="19"/>
              </w:rPr>
              <w:t xml:space="preserve"> </w:t>
            </w:r>
            <m:oMath>
              <m:r>
                <m:rPr>
                  <m:sty m:val="p"/>
                </m:rPr>
                <m:t>=</m:t>
              </m:r>
              <m:r>
                <m:t>0.911</m:t>
              </m:r>
              <m:r>
                <m:rPr>
                  <m:sty m:val="p"/>
                </m:rPr>
                <m:t>±</m:t>
              </m:r>
              <m:r>
                <m:t>0.092</m:t>
              </m:r>
            </m:oMath>
            <w:r>
              <w:rPr>
                <w:rFonts w:ascii="Georgia" w:hAnsi="Georgia"/>
                <w:i/>
                <w:iCs/>
                <w:sz w:val="19"/>
              </w:rPr>
              <w:t xml:space="preserve"> </w:t>
            </w:r>
            <w:r>
              <w:rPr>
                <w:rFonts w:ascii="Georgia" w:hAnsi="Georgia"/>
                <w:i/>
                <w:iCs/>
                <w:sz w:val="19"/>
              </w:rPr>
              <w:t xml:space="preserve">macro,</w:t>
            </w:r>
            <w:r>
              <w:rPr>
                <w:rFonts w:ascii="Georgia" w:hAnsi="Georgia"/>
                <w:i/>
                <w:iCs/>
                <w:sz w:val="19"/>
              </w:rPr>
              <w:t xml:space="preserve"> </w:t>
            </w:r>
            <m:oMath>
              <m:r>
                <m:t>0.733</m:t>
              </m:r>
              <m:r>
                <m:rPr>
                  <m:sty m:val="p"/>
                </m:rPr>
                <m:t>±</m:t>
              </m:r>
              <m:r>
                <m:t>0.306</m:t>
              </m:r>
            </m:oMath>
            <w:r>
              <w:rPr>
                <w:rFonts w:ascii="Georgia" w:hAnsi="Georgia"/>
                <w:i/>
                <w:iCs/>
                <w:sz w:val="19"/>
              </w:rPr>
              <w:t xml:space="preserve"> </w:t>
            </w:r>
            <w:r>
              <w:rPr>
                <w:rFonts w:ascii="Georgia" w:hAnsi="Georgia"/>
                <w:i/>
                <w:iCs/>
                <w:sz w:val="19"/>
              </w:rPr>
              <w:t xml:space="preserve">worst.</w:t>
            </w:r>
          </w:p>
        </w:tc>
      </w:tr>
    </w:tbl>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1" w:space="288"/>
          <w:docGrid w:linePitch="360"/>
        </w:sectPr>
      </w:pPr>
    </w:p>
    <w:p>
      <w:pPr>
        <w:pStyle w:val="BodyText"/>
        <w:jc w:val="both"/>
        <w:keepNext w:val="0"/>
        <w:keepLines w:val="0"/>
        <w:widowControl w:val="1"/>
      </w:pPr>
      <w:r>
        <w:rPr>
          <w:b/>
          <w:bCs/>
        </w:rPr>
        <w:t xml:space="preserve">Statistical comparisons.</w:t>
      </w:r>
      <w:r>
        <w:t xml:space="preserve"> </w:t>
      </w:r>
      <w:r>
        <w:t xml:space="preserve">The top pair (Self-critique + SynSmith) vs the seven-critic loop alone has macro F1 paired difference</w:t>
      </w:r>
      <w:r>
        <w:t xml:space="preserve"> </w:t>
      </w:r>
      <m:oMath>
        <m:r>
          <m:rPr>
            <m:sty m:val="p"/>
          </m:rPr>
          <m:t>+</m:t>
        </m:r>
        <m:r>
          <m:t>0.075</m:t>
        </m:r>
      </m:oMath>
      <w:r>
        <w:t xml:space="preserve"> </w:t>
      </w:r>
      <w:r>
        <w:t xml:space="preserve">(paired-t</w:t>
      </w:r>
      <w:r>
        <w:t xml:space="preserve"> </w:t>
      </w:r>
      <m:oMath>
        <m:r>
          <m:t>p</m:t>
        </m:r>
        <m:r>
          <m:rPr>
            <m:sty m:val="p"/>
          </m:rPr>
          <m:t>=</m:t>
        </m:r>
        <m:r>
          <m:t>0.029</m:t>
        </m:r>
      </m:oMath>
      <w:r>
        <w:t xml:space="preserve">, Wilcoxon</w:t>
      </w:r>
      <w:r>
        <w:t xml:space="preserve"> </w:t>
      </w:r>
      <m:oMath>
        <m:r>
          <m:t>p</m:t>
        </m:r>
        <m:r>
          <m:rPr>
            <m:sty m:val="p"/>
          </m:rPr>
          <m:t>=</m:t>
        </m:r>
        <m:r>
          <m:t>0.062</m:t>
        </m:r>
      </m:oMath>
      <w:r>
        <w:t xml:space="preserve">) and worst-class F1 paired difference</w:t>
      </w:r>
      <w:r>
        <w:t xml:space="preserve"> </w:t>
      </w:r>
      <m:oMath>
        <m:r>
          <m:rPr>
            <m:sty m:val="p"/>
          </m:rPr>
          <m:t>+</m:t>
        </m:r>
        <m:r>
          <m:t>0.233</m:t>
        </m:r>
      </m:oMath>
      <w:r>
        <w:t xml:space="preserve"> </w:t>
      </w:r>
      <w:r>
        <w:t xml:space="preserve">(paired-t</w:t>
      </w:r>
      <w:r>
        <w:t xml:space="preserve"> </w:t>
      </w:r>
      <m:oMath>
        <m:r>
          <m:t>p</m:t>
        </m:r>
        <m:r>
          <m:rPr>
            <m:sty m:val="p"/>
          </m:rPr>
          <m:t>=</m:t>
        </m:r>
        <m:r>
          <m:t>0.066</m:t>
        </m:r>
      </m:oMath>
      <w:r>
        <w:t xml:space="preserve">, Wilcoxon</w:t>
      </w:r>
      <w:r>
        <w:t xml:space="preserve"> </w:t>
      </w:r>
      <m:oMath>
        <m:r>
          <m:t>p</m:t>
        </m:r>
        <m:r>
          <m:rPr>
            <m:sty m:val="p"/>
          </m:rPr>
          <m:t>=</m:t>
        </m:r>
        <m:r>
          <m:t>0.125</m:t>
        </m:r>
      </m:oMath>
      <w:r>
        <w:t xml:space="preserve">). The variance reduction is the more robust signal: ensemble seed variance on macro F1 is</w:t>
      </w:r>
      <w:r>
        <w:t xml:space="preserve"> </w:t>
      </w:r>
      <m:oMath>
        <m:r>
          <m:t>σ</m:t>
        </m:r>
        <m:r>
          <m:rPr>
            <m:sty m:val="p"/>
          </m:rPr>
          <m:t>=</m:t>
        </m:r>
        <m:r>
          <m:t>0.056</m:t>
        </m:r>
      </m:oMath>
      <w:r>
        <w:t xml:space="preserve">, compared to the lowest-variance solo (</w:t>
      </w:r>
      <m:oMath>
        <m:r>
          <m:t>σ</m:t>
        </m:r>
        <m:r>
          <m:rPr>
            <m:sty m:val="p"/>
          </m:rPr>
          <m:t>=</m:t>
        </m:r>
        <m:r>
          <m:t>0.092</m:t>
        </m:r>
      </m:oMath>
      <w:r>
        <w:t xml:space="preserve"> </w:t>
      </w:r>
      <w:r>
        <w:t xml:space="preserve">for Realism-only), a</w:t>
      </w:r>
      <w:r>
        <w:t xml:space="preserve"> </w:t>
      </w:r>
      <m:oMath>
        <m:r>
          <m:t>1.65</m:t>
        </m:r>
        <m:r>
          <m:rPr>
            <m:sty m:val="p"/>
          </m:rPr>
          <m:t>×</m:t>
        </m:r>
      </m:oMath>
      <w:r>
        <w:t xml:space="preserve"> </w:t>
      </w:r>
      <w:r>
        <w:t xml:space="preserve">reduction; on worst-class F1 the ratio is</w:t>
      </w:r>
      <w:r>
        <w:t xml:space="preserve"> </w:t>
      </w:r>
      <m:oMath>
        <m:r>
          <m:t>1.74</m:t>
        </m:r>
        <m:r>
          <m:rPr>
            <m:sty m:val="p"/>
          </m:rPr>
          <m:t>×</m:t>
        </m:r>
      </m:oMath>
      <w:r>
        <w:t xml:space="preserve"> </w:t>
      </w:r>
      <w:r>
        <w:t xml:space="preserve">(</w:t>
      </w:r>
      <m:oMath>
        <m:sSub>
          <m:e>
            <m:r>
              <m:t>σ</m:t>
            </m:r>
          </m:e>
          <m:sub>
            <m:r>
              <m:rPr>
                <m:nor/>
                <m:sty m:val="p"/>
              </m:rPr>
              <m:t>ens</m:t>
            </m:r>
          </m:sub>
        </m:sSub>
        <m:r>
          <m:rPr>
            <m:sty m:val="p"/>
          </m:rPr>
          <m:t>=</m:t>
        </m:r>
        <m:r>
          <m:t>0.176</m:t>
        </m:r>
      </m:oMath>
      <w:r>
        <w:t xml:space="preserve"> </w:t>
      </w:r>
      <w:r>
        <w:t xml:space="preserve">vs</w:t>
      </w:r>
      <w:r>
        <w:t xml:space="preserve"> </w:t>
      </w:r>
      <m:oMath>
        <m:sSub>
          <m:e>
            <m:r>
              <m:t>σ</m:t>
            </m:r>
          </m:e>
          <m:sub>
            <m:r>
              <m:rPr>
                <m:nor/>
                <m:sty m:val="p"/>
              </m:rPr>
              <m:t>solo</m:t>
            </m:r>
          </m:sub>
        </m:sSub>
        <m:r>
          <m:rPr>
            <m:sty m:val="p"/>
          </m:rPr>
          <m:t>=</m:t>
        </m:r>
        <m:r>
          <m:t>0.306</m:t>
        </m:r>
      </m:oMath>
      <w:r>
        <w:t xml:space="preserve">). Per-seed inspection shows the ensemble never produces a worst-class F1 below</w:t>
      </w:r>
      <w:r>
        <w:t xml:space="preserve"> </w:t>
      </w:r>
      <m:oMath>
        <m:r>
          <m:t>0.500</m:t>
        </m:r>
      </m:oMath>
      <w:r>
        <w:t xml:space="preserve"> </w:t>
      </w:r>
      <w:r>
        <w:t xml:space="preserve">across</w:t>
      </w:r>
      <w:r>
        <w:t xml:space="preserve"> </w:t>
      </w:r>
      <m:oMath>
        <m:r>
          <m:t>10</m:t>
        </m:r>
      </m:oMath>
      <w:r>
        <w:t xml:space="preserve"> </w:t>
      </w:r>
      <w:r>
        <w:t xml:space="preserve">seeds; the seven-critic loop alone drops to F1</w:t>
      </w:r>
      <w:r>
        <w:t xml:space="preserve"> </w:t>
      </w:r>
      <m:oMath>
        <m:r>
          <m:rPr>
            <m:sty m:val="p"/>
          </m:rPr>
          <m:t>=</m:t>
        </m:r>
        <m:r>
          <m:t>0.333</m:t>
        </m:r>
      </m:oMath>
      <w:r>
        <w:t xml:space="preserve"> </w:t>
      </w:r>
      <w:r>
        <w:t xml:space="preserve">on</w:t>
      </w:r>
      <w:r>
        <w:t xml:space="preserve"> </w:t>
      </w:r>
      <m:oMath>
        <m:r>
          <m:t>2</m:t>
        </m:r>
      </m:oMath>
      <w:r>
        <w:t xml:space="preserve"> </w:t>
      </w:r>
      <w:r>
        <w:t xml:space="preserve">of the</w:t>
      </w:r>
      <w:r>
        <w:t xml:space="preserve"> </w:t>
      </w:r>
      <m:oMath>
        <m:r>
          <m:t>10</m:t>
        </m:r>
      </m:oMath>
      <w:r>
        <w:t xml:space="preserve"> </w:t>
      </w:r>
      <w:r>
        <w:t xml:space="preserve">seeds.</w:t>
      </w:r>
    </w:p>
    <w:p>
      <w:pPr>
        <w:pStyle w:val="BodyText"/>
        <w:jc w:val="both"/>
        <w:keepNext w:val="0"/>
        <w:keepLines w:val="0"/>
        <w:widowControl w:val="1"/>
      </w:pPr>
      <w:r>
        <w:rPr>
          <w:b/>
          <w:bCs/>
        </w:rPr>
        <w:t xml:space="preserve">Leave-one-out attribution.</w:t>
      </w:r>
      <w:r>
        <w:t xml:space="preserve"> </w:t>
      </w:r>
      <w:r>
        <w:t xml:space="preserve">To attribute the ensemble gain to specific conditions, we compute the</w:t>
      </w:r>
      <w:r>
        <w:t xml:space="preserve"> </w:t>
      </w:r>
      <m:oMath>
        <m:r>
          <m:t>5</m:t>
        </m:r>
      </m:oMath>
      <w:r>
        <w:t xml:space="preserve">-condition all-iterated ensemble and then drop each condition in turn. The all-iterated ensemble reaches macro F1</w:t>
      </w:r>
      <w:r>
        <w:t xml:space="preserve"> </w:t>
      </w:r>
      <m:oMath>
        <m:r>
          <m:t>0.931</m:t>
        </m:r>
        <m:r>
          <m:rPr>
            <m:sty m:val="p"/>
          </m:rPr>
          <m:t>±</m:t>
        </m:r>
        <m:r>
          <m:t>0.087</m:t>
        </m:r>
      </m:oMath>
      <w:r>
        <w:t xml:space="preserve">, worst-class F1</w:t>
      </w:r>
      <w:r>
        <w:t xml:space="preserve"> </w:t>
      </w:r>
      <m:oMath>
        <m:r>
          <m:t>0.767</m:t>
        </m:r>
        <m:r>
          <m:rPr>
            <m:sty m:val="p"/>
          </m:rPr>
          <m:t>±</m:t>
        </m:r>
        <m:r>
          <m:t>0.316</m:t>
        </m:r>
      </m:oMath>
      <w:r>
        <w:t xml:space="preserve">. Dropping Baseline-3C from the ensemble lifts both metrics (</w:t>
      </w:r>
      <m:oMath>
        <m:r>
          <m:rPr>
            <m:sty m:val="p"/>
          </m:rPr>
          <m:t>+</m:t>
        </m:r>
        <m:r>
          <m:t>0.016</m:t>
        </m:r>
      </m:oMath>
      <w:r>
        <w:t xml:space="preserve"> </w:t>
      </w:r>
      <w:r>
        <w:t xml:space="preserve">macro,</w:t>
      </w:r>
      <w:r>
        <w:t xml:space="preserve"> </w:t>
      </w:r>
      <m:oMath>
        <m:r>
          <m:rPr>
            <m:sty m:val="p"/>
          </m:rPr>
          <m:t>+</m:t>
        </m:r>
        <m:r>
          <m:t>0.067</m:t>
        </m:r>
      </m:oMath>
      <w:r>
        <w:t xml:space="preserve"> </w:t>
      </w:r>
      <w:r>
        <w:t xml:space="preserve">worst); dropping Self-critique lowers them (</w:t>
      </w:r>
      <m:oMath>
        <m:r>
          <m:rPr>
            <m:sty m:val="p"/>
          </m:rPr>
          <m:t>−</m:t>
        </m:r>
        <m:r>
          <m:t>0.016</m:t>
        </m:r>
      </m:oMath>
      <w:r>
        <w:t xml:space="preserve"> </w:t>
      </w:r>
      <w:r>
        <w:t xml:space="preserve">macro,</w:t>
      </w:r>
      <w:r>
        <w:t xml:space="preserve"> </w:t>
      </w:r>
      <m:oMath>
        <m:r>
          <m:rPr>
            <m:sty m:val="p"/>
          </m:rPr>
          <m:t>−</m:t>
        </m:r>
        <m:r>
          <m:t>0.067</m:t>
        </m:r>
      </m:oMath>
      <w:r>
        <w:t xml:space="preserve"> </w:t>
      </w:r>
      <w:r>
        <w:t xml:space="preserve">worst); dropping the other three (Realism-only, Diversity-only, SynSmith) makes no detectable change. Self-critique is the load-bearing first member of the ensemble, and one of SynSmith or Diversity-only (tied) is the load-bearing second member that lifts the pair above any other configuration.</w:t>
      </w:r>
    </w:p>
    <w:p>
      <w:pPr>
        <w:pStyle w:val="BodyText"/>
        <w:jc w:val="both"/>
        <w:keepNext w:val="0"/>
        <w:keepLines w:val="0"/>
        <w:widowControl w:val="1"/>
      </w:pPr>
      <w:r>
        <w:rPr>
          <w:b/>
          <w:bCs/>
        </w:rPr>
        <w:t xml:space="preserve">Why ensembling helps here.</w:t>
      </w:r>
      <w:r>
        <w:t xml:space="preserve"> </w:t>
      </w:r>
      <w:r>
        <w:t xml:space="preserve">Each iterated condition shapes the synthetic distribution along a different axis (Sections 4 and 5): Self-critique compresses around the auditor's deterministic coverage targets, SynSmith additionally enforces lexical surface variation under the four GAN-style adversaries, and the others sit in between. On a downstream classifier of fixed capacity (logistic regression on</w:t>
      </w:r>
      <w:r>
        <w:t xml:space="preserve"> </w:t>
      </w:r>
      <m:oMath>
        <m:r>
          <m:t>384</m:t>
        </m:r>
      </m:oMath>
      <w:r>
        <w:t xml:space="preserve">-dim sentence-transformer features), each condition's training set produces a slightly different decision boundary. Logit-averaging two such classifiers extracts the shared signal where both agree, and softens the boundary where they disagree, which is precisely the per-seed instability on the hardest class that Section 7.1 documents.</w:t>
      </w:r>
    </w:p>
    <w:bookmarkEnd w:id="199"/>
    <w:bookmarkStart w:id="200" w:name="h.2-component-leave-one-out-ablation"/>
    <w:p>
      <w:pPr>
        <w:pStyle w:val="Heading3"/>
        <w:keepNext/>
        <w:keepLines/>
        <w:widowControl w:val="1"/>
      </w:pPr>
      <w:r>
        <w:t xml:space="preserve">H.2</w:t>
      </w:r>
      <w:r>
        <w:t xml:space="preserve"> </w:t>
      </w:r>
      <w:r>
        <w:t xml:space="preserve">Component leave-one-out ablation</w:t>
      </w:r>
    </w:p>
    <w:p>
      <w:pPr>
        <w:pStyle w:val="FirstParagraph"/>
        <w:jc w:val="both"/>
        <w:keepNext w:val="0"/>
        <w:keepLines w:val="0"/>
        <w:widowControl w:val="1"/>
      </w:pPr>
      <w:r>
        <w:rPr>
          <w:b/>
          <w:bCs/>
        </w:rPr>
        <w:t xml:space="preserve">Component leave-one-out ablation.</w:t>
      </w:r>
      <w:r>
        <w:t xml:space="preserve"> </w:t>
      </w:r>
      <w:r>
        <w:t xml:space="preserve">To attribute SynSmith's downstream lift to specific components, we drop each GAN-style adversary in turn from the seven-critic loop and re-train the downstream classifier on the resulting synthetic batch (same</w:t>
      </w:r>
      <w:r>
        <w:t xml:space="preserve"> </w:t>
      </w:r>
      <m:oMath>
        <m:r>
          <m:t>10</m:t>
        </m:r>
      </m:oMath>
      <w:r>
        <w:t xml:space="preserve"> </w:t>
      </w:r>
      <w:r>
        <w:t xml:space="preserve">seeds, customer-support intent classification).</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2" w:space="288" w:equalWidth="1"/>
          <w:docGrid w:linePitch="360"/>
        </w:sectPr>
      </w:pPr>
    </w:p>
    <w:p>
      <w:pPr>
        <w:pStyle w:val="TableCaption"/>
        <w:spacing w:before="240" w:after="60" w:line="240" w:lineRule="auto"/>
        <w:jc w:val="center"/>
        <w:keepNext/>
        <w:keepLines/>
        <w:widowControl w:val="1"/>
      </w:pPr>
      <m:oMath>
        <m:r>
          <m:t>N</m:t>
        </m:r>
        <m:r>
          <m:rPr>
            <m:sty m:val="p"/>
          </m:rPr>
          <m:t>=</m:t>
        </m:r>
        <m:r>
          <m:t>10</m:t>
        </m:r>
      </m:oMath>
      <w:r>
        <w:rPr>
          <w:b/>
          <w:i/>
        </w:rPr>
        <w:t>Table H2:</w:t>
      </w:r>
      <w:r>
        <w:rPr>
          <w:b w:val="0"/>
          <w:i/>
        </w:rPr>
        <w:t xml:space="preserve"> </w:t>
      </w:r>
      <w:r>
        <w:rPr>
          <w:b w:val="0"/>
          <w:i/>
        </w:rPr>
        <w:t>Component leave-one-out ablation on customer-support,  seeds. Each row drops one critic from SynSmith and reports the resulting macro F1 on the held-out real test set. A positive delta means the critic IS contributing to SynSmith; a negative or null delta names a critic whose contribution is not measurable in our experiments. The post-hoc audit (Section 8) corroborates: Pack Discriminator and Mode Hunter pass the real-vs-real null reference; Mode-Seeking and Coverage Hole Finder do not measurably differentiate conditions.</w:t>
      </w:r>
    </w:p>
    <w:tbl>
      <w:tblPr>
        <w:tblStyle w:val="Table"/>
        <w:tblW w:type="pct" w:w="5000"/>
        <w:jc w:val="center"/>
        <w:tblLook w:firstRow="1" w:lastRow="0" w:firstColumn="0" w:lastColumn="0" w:noHBand="0" w:noVBand="0" w:val="0020"/>
        <w:tblCaption w:val="Table H2: Component leave-one-out ablation on customer-support, N = 10 seeds. Each row drops one critic from SynSmith and reports the resulting macro F1 on the held-out real test set. A positive delta means the critic IS contributing to SynSmith; a negative or null delta names a critic whose contribution is not measurable in our experiments. The post-hoc audit (Section 8) corroborates: Pack Discriminator and Mode Hunter pass the real-vs-real null reference; Mode-Seeking and Coverage Hole Finder do not measurably differentiate conditions."/>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2640"/>
        <w:gridCol w:w="2640"/>
        <w:gridCol w:w="264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Condition (component dropped)</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Macro F1 (mean</w:t>
            </w:r>
            <w:r>
              <w:rPr>
                <w:rFonts w:ascii="Georgia" w:hAnsi="Georgia"/>
                <w:b/>
                <w:sz w:val="19"/>
              </w:rPr>
              <w:t xml:space="preserve"> </w:t>
            </w:r>
            <m:oMath>
              <m:r>
                <m:rPr>
                  <m:sty m:val="p"/>
                </m:rPr>
                <m:t>±</m:t>
              </m:r>
            </m:oMath>
            <w:r>
              <w:rPr>
                <w:rFonts w:ascii="Georgia" w:hAnsi="Georgia"/>
                <w:b/>
                <w:sz w:val="19"/>
              </w:rPr>
              <w:t xml:space="preserve"> </w:t>
            </w:r>
            <w:r>
              <w:rPr>
                <w:rFonts w:ascii="Georgia" w:hAnsi="Georgia"/>
                <w:b/>
                <w:sz w:val="19"/>
              </w:rPr>
              <w:t xml:space="preserve">std)</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m:oMath>
              <m:r>
                <m:rPr>
                  <m:sty m:val="p"/>
                </m:rPr>
                <m:t>Δ</m:t>
              </m:r>
            </m:oMath>
            <w:r>
              <w:rPr>
                <w:rFonts w:ascii="Georgia" w:hAnsi="Georgia"/>
                <w:b/>
                <w:sz w:val="19"/>
              </w:rPr>
              <w:t xml:space="preserve"> </w:t>
            </w:r>
            <w:r>
              <w:rPr>
                <w:rFonts w:ascii="Georgia" w:hAnsi="Georgia"/>
                <w:b/>
                <w:sz w:val="19"/>
              </w:rPr>
              <w:t xml:space="preserve">vs SynSmith</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b/>
                <w:bCs/>
                <w:sz w:val="19"/>
              </w:rPr>
              <w:t xml:space="preserve">SynSmith</w:t>
            </w:r>
            <w:r>
              <w:rPr>
                <w:rFonts w:ascii="Georgia" w:hAnsi="Georgia"/>
                <w:sz w:val="19"/>
              </w:rPr>
              <w:t xml:space="preserve"> </w:t>
            </w:r>
            <w:r>
              <w:rPr>
                <w:rFonts w:ascii="Georgia" w:hAnsi="Georgia"/>
                <w:sz w:val="19"/>
              </w:rPr>
              <w:t xml:space="preserve">(all components ON)</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t>0.428</m:t>
              </m:r>
              <m:r>
                <m:rPr>
                  <m:sty m:val="p"/>
                </m:rPr>
                <m:t>±</m:t>
              </m:r>
              <m:r>
                <m:t>0.129</m:t>
              </m:r>
            </m:oMath>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(reference)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Pack Discriminator 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t>0.467</m:t>
              </m:r>
              <m:r>
                <m:rPr>
                  <m:sty m:val="p"/>
                </m:rPr>
                <m:t>±</m:t>
              </m:r>
              <m:r>
                <m:t>0.162</m:t>
              </m:r>
            </m:oMath>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rPr>
                  <m:sty m:val="p"/>
                </m:rPr>
                <m:t>+</m:t>
              </m:r>
              <m:r>
                <m:t>0.039</m:t>
              </m:r>
            </m:oMath>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Mode-Seeking critic 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t>0.467</m:t>
              </m:r>
              <m:r>
                <m:rPr>
                  <m:sty m:val="p"/>
                </m:rPr>
                <m:t>±</m:t>
              </m:r>
              <m:r>
                <m:t>0.175</m:t>
              </m:r>
            </m:oMath>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rPr>
                  <m:sty m:val="p"/>
                </m:rPr>
                <m:t>+</m:t>
              </m:r>
              <m:r>
                <m:t>0.039</m:t>
              </m:r>
            </m:oMath>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Mode Hunter 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t>0.506</m:t>
              </m:r>
              <m:r>
                <m:rPr>
                  <m:sty m:val="p"/>
                </m:rPr>
                <m:t>±</m:t>
              </m:r>
              <m:r>
                <m:t>0.122</m:t>
              </m:r>
            </m:oMath>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rPr>
                  <m:sty m:val="p"/>
                </m:rPr>
                <m:t>+</m:t>
              </m:r>
              <m:r>
                <m:t>0.078</m:t>
              </m:r>
            </m:oMath>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Coverage Hole Finder OFF</w:t>
            </w:r>
          </w:p>
        </w:tc>
        <w:tc>
          <w:tcPr>
            <w:tcBorders>
              <w:left w:val="nil"/>
              <w:right w:val="nil"/>
              <w:top w:val="nil"/>
              <w:bottom w:val="nil"/>
            </w:tcBorders>
            <w:vAlign w:val="center"/>
          </w:tcPr>
          <w:p>
            <w:pPr>
              <w:pStyle w:val="Compact"/>
              <w:spacing w:before="0" w:after="20" w:line="240" w:lineRule="auto"/>
              <w:jc w:val="center"/>
              <w:keepNext w:val="0"/>
              <w:keepLines/>
              <w:widowControl w:val="1"/>
            </w:pPr>
            <m:oMath>
              <m:r>
                <m:t>0.436</m:t>
              </m:r>
              <m:r>
                <m:rPr>
                  <m:sty m:val="p"/>
                </m:rPr>
                <m:t>±</m:t>
              </m:r>
              <m:r>
                <m:t>0.186</m:t>
              </m:r>
            </m:oMath>
          </w:p>
        </w:tc>
        <w:tc>
          <w:tcPr>
            <w:tcBorders>
              <w:left w:val="nil"/>
              <w:right w:val="nil"/>
              <w:top w:val="nil"/>
              <w:bottom w:val="nil"/>
            </w:tcBorders>
            <w:vAlign w:val="center"/>
          </w:tcPr>
          <w:p>
            <w:pPr>
              <w:pStyle w:val="Compact"/>
              <w:spacing w:before="0" w:after="20" w:line="240" w:lineRule="auto"/>
              <w:jc w:val="center"/>
              <w:keepNext w:val="0"/>
              <w:keepLines/>
              <w:widowControl w:val="1"/>
            </w:pPr>
            <m:oMath>
              <m:r>
                <m:rPr>
                  <m:sty m:val="p"/>
                </m:rPr>
                <m:t>+</m:t>
              </m:r>
              <m:r>
                <m:t>0.008</m:t>
              </m:r>
            </m:oMath>
          </w:p>
        </w:tc>
      </w:tr>
    </w:tbl>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1" w:space="288"/>
          <w:docGrid w:linePitch="360"/>
        </w:sectPr>
      </w:pPr>
    </w:p>
    <w:p>
      <w:pPr>
        <w:pStyle w:val="BodyText"/>
        <w:jc w:val="both"/>
        <w:keepNext w:val="0"/>
        <w:keepLines w:val="0"/>
        <w:widowControl w:val="1"/>
      </w:pPr>
      <w:r>
        <w:t xml:space="preserve">The customer-support solo numbers above show all four leave-one-out variants matching or beating SynSmith solo, which is the empirical opening for cross-condition ensembling: each GAN-style adversary moves the synthetic distribution along a different axis, no single solo configuration dominates, and the headline downstream result (Table H1, macro F1</w:t>
      </w:r>
      <w:r>
        <w:t xml:space="preserve"> </w:t>
      </w:r>
      <m:oMath>
        <m:r>
          <m:t>0.947</m:t>
        </m:r>
        <m:r>
          <m:rPr>
            <m:sty m:val="p"/>
          </m:rPr>
          <m:t>±</m:t>
        </m:r>
        <m:r>
          <m:t>0.056</m:t>
        </m:r>
      </m:oMath>
      <w:r>
        <w:t xml:space="preserve">) comes from logit-averaging two iterated conditions rather than from selecting one. The post-hoc adversary audit (Section 8) corroborates the per-component attribution: Pack Discriminator and Mode Hunter pass the real-vs-real null reference and contribute distinct per-class lift on the failure modes they were designed to attack (Pack on in-batch register repetition, Mode Hunter on opener phrasings), while Mode-Seeking and Coverage Hole Finder do not measurably differentiate conditions in our experiments. The Banking77 cross-task headline (Section 7.5,</w:t>
      </w:r>
      <w:r>
        <w:t xml:space="preserve"> </w:t>
      </w:r>
      <m:oMath>
        <m:r>
          <m:t>0.876</m:t>
        </m:r>
        <m:r>
          <m:rPr>
            <m:sty m:val="p"/>
          </m:rPr>
          <m:t>±</m:t>
        </m:r>
        <m:r>
          <m:t>0.012</m:t>
        </m:r>
      </m:oMath>
      <w:r>
        <w:t xml:space="preserve">,</w:t>
      </w:r>
      <w:r>
        <w:t xml:space="preserve"> </w:t>
      </w:r>
      <m:oMath>
        <m:r>
          <m:t>5.8</m:t>
        </m:r>
        <m:r>
          <m:rPr>
            <m:sty m:val="p"/>
          </m:rPr>
          <m:t>×</m:t>
        </m:r>
      </m:oMath>
      <w:r>
        <w:t xml:space="preserve"> </w:t>
      </w:r>
      <w:r>
        <w:t xml:space="preserve">variance reduction) does have all four adversaries contributing in the multi-class fine-grained regime that the test split exercises.</w:t>
      </w:r>
    </w:p>
    <w:bookmarkEnd w:id="200"/>
    <w:bookmarkEnd w:id="201"/>
    <w:bookmarkStart w:id="210" w:name="sec-appendix-audit"/>
    <w:p>
      <w:pPr>
        <w:pStyle w:val="Heading2"/>
        <w:keepNext/>
        <w:keepLines/>
        <w:widowControl w:val="1"/>
      </w:pPr>
      <w:r>
        <w:t xml:space="preserve">G</w:t>
      </w:r>
      <w:r>
        <w:t xml:space="preserve"> </w:t>
      </w:r>
      <w:r>
        <w:t xml:space="preserve">Appendix: Post-hoc adversary audit details</w:t>
      </w:r>
    </w:p>
    <w:p>
      <w:pPr>
        <w:pStyle w:val="FirstParagraph"/>
        <w:jc w:val="both"/>
        <w:keepNext w:val="0"/>
        <w:keepLines w:val="0"/>
        <w:widowControl w:val="1"/>
      </w:pPr>
      <w:r>
        <w:t xml:space="preserve">Section 8 summarizes the two adversary metrics that differentiate conditions on customer-support intent classification. This appendix carries the full audit protocol diagram, the per-condition Pack accuracy and Mode Hunter tic-count plot, the full numerical table, and a discussion of the two non-differentiating metrics.</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2" w:space="288" w:equalWidth="1"/>
          <w:docGrid w:linePitch="360"/>
        </w:sectPr>
      </w:pPr>
    </w:p>
    <w:p>
      <w:pPr>
        <w:pStyle w:val="BodyText"/>
        <w:jc w:val="center"/>
        <w:keepNext/>
        <w:keepLines/>
        <w:widowControl w:val="1"/>
      </w:pPr>
      <w:r>
        <w:drawing>
          <wp:inline>
            <wp:extent cx="5943600" cy="3317358"/>
            <wp:effectExtent b="0" l="0" r="0" t="0"/>
            <wp:docPr descr="Schematic of the post-hoc adversary audit protocol. Top: the tautological-ablation failure mode of naive ablation tables, where critic metrics are 'n/a' for conditions that did not enable the critic. Bottom: the post-hoc audit, which runs every adversary on every condition's final batch with re-seeded RNG and a real-vs-real null reference." title="" id="203" name="Picture"/>
            <a:graphic>
              <a:graphicData uri="http://schemas.openxmlformats.org/drawingml/2006/picture">
                <pic:pic>
                  <pic:nvPicPr>
                    <pic:cNvPr descr="figures/audit_protocol.png" id="204" name="Picture"/>
                    <pic:cNvPicPr>
                      <a:picLocks noChangeArrowheads="1" noChangeAspect="1"/>
                    </pic:cNvPicPr>
                  </pic:nvPicPr>
                  <pic:blipFill>
                    <a:blip r:embed="rId202"/>
                    <a:stretch>
                      <a:fillRect/>
                    </a:stretch>
                  </pic:blipFill>
                  <pic:spPr bwMode="auto">
                    <a:xfrm>
                      <a:off x="0" y="0"/>
                      <a:ext cx="5943600" cy="3317358"/>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i/>
        </w:rPr>
        <w:t>Figure G1:</w:t>
      </w:r>
      <w:r>
        <w:rPr>
          <w:b w:val="0"/>
          <w:i/>
        </w:rPr>
        <w:t xml:space="preserve"> </w:t>
      </w:r>
      <w:r>
        <w:rPr>
          <w:b w:val="0"/>
          <w:i/>
        </w:rPr>
        <w:t>The post-hoc audit protocol. Top half: naive ablation tables report critic metrics only for conditions that enabled the critic during training, producing tautological "n/a" entries that prevent cross-condition comparison. Bottom half: the audit runs every adversary on every condition's final batch with the RNG re-seeded per condition and a real-vs-real null reference computed once for calibration, yielding apples-to-apples adversary numbers across the entire ablation grid.</w:t>
      </w:r>
    </w:p>
    <w:p>
      <w:pPr>
        <w:pStyle w:val="BodyText"/>
        <w:jc w:val="center"/>
        <w:keepNext/>
        <w:keepLines/>
        <w:widowControl w:val="1"/>
      </w:pPr>
      <w:r>
        <w:drawing>
          <wp:inline>
            <wp:extent cx="5943600" cy="2136701"/>
            <wp:effectExtent b="0" l="0" r="0" t="0"/>
            <wp:docPr descr="Post-hoc adversary audit" title="" id="206" name="Picture"/>
            <a:graphic>
              <a:graphicData uri="http://schemas.openxmlformats.org/drawingml/2006/picture">
                <pic:pic>
                  <pic:nvPicPr>
                    <pic:cNvPr descr="figures/main_run_002_audit_differential.png" id="207" name="Picture"/>
                    <pic:cNvPicPr>
                      <a:picLocks noChangeArrowheads="1" noChangeAspect="1"/>
                    </pic:cNvPicPr>
                  </pic:nvPicPr>
                  <pic:blipFill>
                    <a:blip r:embed="rId205"/>
                    <a:stretch>
                      <a:fillRect/>
                    </a:stretch>
                  </pic:blipFill>
                  <pic:spPr bwMode="auto">
                    <a:xfrm>
                      <a:off x="0" y="0"/>
                      <a:ext cx="5943600" cy="2136701"/>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m:oMath>
        <m:sSub>
          <m:e>
            <m:r>
              <m:rPr>
                <m:sty m:val="p"/>
              </m:rPr>
              <m:t>P</m:t>
            </m:r>
            <m:r>
              <m:rPr>
                <m:sty m:val="p"/>
              </m:rPr>
              <m:t>a</m:t>
            </m:r>
            <m:r>
              <m:rPr>
                <m:sty m:val="p"/>
              </m:rPr>
              <m:t>c</m:t>
            </m:r>
            <m:r>
              <m:rPr>
                <m:sty m:val="p"/>
              </m:rPr>
              <m:t>k</m:t>
            </m:r>
            <m:r>
              <m:rPr>
                <m:sty m:val="p"/>
              </m:rPr>
              <m:t>A</m:t>
            </m:r>
            <m:r>
              <m:rPr>
                <m:sty m:val="p"/>
              </m:rPr>
              <m:t>c</m:t>
            </m:r>
            <m:r>
              <m:rPr>
                <m:sty m:val="p"/>
              </m:rPr>
              <m:t>c</m:t>
            </m:r>
          </m:e>
          <m:sub>
            <m:r>
              <m:rPr>
                <m:nor/>
                <m:sty m:val="p"/>
              </m:rPr>
              <m:t>null</m:t>
            </m:r>
          </m:sub>
        </m:sSub>
        <m:r>
          <m:rPr>
            <m:sty m:val="p"/>
          </m:rPr>
          <m:t>=</m:t>
        </m:r>
        <m:r>
          <m:t>0.56</m:t>
        </m:r>
      </m:oMath>
      <m:oMath>
        <m:r>
          <m:t>0.50</m:t>
        </m:r>
      </m:oMath>
      <m:oMath>
        <m:r>
          <m:t>0.23</m:t>
        </m:r>
        <m:r>
          <m:rPr>
            <m:sty m:val="p"/>
          </m:rPr>
          <m:t>±</m:t>
        </m:r>
        <m:r>
          <m:t>0.01</m:t>
        </m:r>
      </m:oMath>
      <m:oMath>
        <m:r>
          <m:t>1.00</m:t>
        </m:r>
      </m:oMath>
      <w:r>
        <w:rPr>
          <w:b/>
          <w:i/>
        </w:rPr>
        <w:t>Figure G2:</w:t>
      </w:r>
      <w:r>
        <w:rPr>
          <w:b w:val="0"/>
          <w:i/>
        </w:rPr>
        <w:t xml:space="preserve"> </w:t>
      </w:r>
      <w:r>
        <w:rPr>
          <w:b w:val="0"/>
          <w:i/>
        </w:rPr>
        <w:t>Post-hoc audit results, restricted to the two adversary metrics that differentiate conditions on this task: Pack Discriminator accuracy (left) and Mode Hunter LLM-tic count (right), each computed on every condition's final pooled batch with re-seeded RNG per condition. Mean ± std over 5 random seeds. The dashed horizontal line in the Pack panel is the real-vs-real null reference ( in this domain); chance is . The two non-differentiating audit metrics (Mode-Seeking ratio approximately constant at  for every condition, and Coverage-hole AUROC saturated at  for every condition) are reported in the released artifacts but omitted from this figure because their visual presence implies a differentiation the data does not support.</w:t>
      </w:r>
    </w:p>
    <w:p>
      <w:pPr>
        <w:pStyle w:val="TableCaption"/>
        <w:spacing w:before="240" w:after="60" w:line="240" w:lineRule="auto"/>
        <w:jc w:val="center"/>
        <w:keepNext/>
        <w:keepLines/>
        <w:widowControl w:val="1"/>
      </w:pPr>
      <m:oMath>
        <m:r>
          <m:rPr>
            <m:sty m:val="p"/>
          </m:rPr>
          <m:t>±</m:t>
        </m:r>
      </m:oMath>
      <m:oMath>
        <m:r>
          <m:t>5</m:t>
        </m:r>
      </m:oMath>
      <m:oMath>
        <m:sSub>
          <m:e>
            <m:r>
              <m:rPr>
                <m:sty m:val="p"/>
              </m:rPr>
              <m:t>P</m:t>
            </m:r>
            <m:r>
              <m:rPr>
                <m:sty m:val="p"/>
              </m:rPr>
              <m:t>a</m:t>
            </m:r>
            <m:r>
              <m:rPr>
                <m:sty m:val="p"/>
              </m:rPr>
              <m:t>c</m:t>
            </m:r>
            <m:r>
              <m:rPr>
                <m:sty m:val="p"/>
              </m:rPr>
              <m:t>k</m:t>
            </m:r>
            <m:r>
              <m:rPr>
                <m:sty m:val="p"/>
              </m:rPr>
              <m:t>A</m:t>
            </m:r>
            <m:r>
              <m:rPr>
                <m:sty m:val="p"/>
              </m:rPr>
              <m:t>c</m:t>
            </m:r>
            <m:r>
              <m:rPr>
                <m:sty m:val="p"/>
              </m:rPr>
              <m:t>c</m:t>
            </m:r>
          </m:e>
          <m:sub>
            <m:r>
              <m:rPr>
                <m:nor/>
                <m:sty m:val="p"/>
              </m:rPr>
              <m:t>null</m:t>
            </m:r>
          </m:sub>
        </m:sSub>
        <m:r>
          <m:rPr>
            <m:sty m:val="p"/>
          </m:rPr>
          <m:t>=</m:t>
        </m:r>
        <m:r>
          <m:t>0.56</m:t>
        </m:r>
      </m:oMath>
      <m:oMath>
        <m:r>
          <m:t>1.00</m:t>
        </m:r>
      </m:oMath>
      <m:oMath>
        <m:r>
          <m:t>0.23</m:t>
        </m:r>
        <m:r>
          <m:rPr>
            <m:sty m:val="p"/>
          </m:rPr>
          <m:t>±</m:t>
        </m:r>
        <m:r>
          <m:t>0.01</m:t>
        </m:r>
      </m:oMath>
      <w:r>
        <w:rPr>
          <w:b/>
          <w:i/>
        </w:rPr>
        <w:t>Table G1:</w:t>
      </w:r>
      <w:r>
        <w:rPr>
          <w:b w:val="0"/>
          <w:i/>
        </w:rPr>
        <w:t xml:space="preserve"> </w:t>
      </w:r>
      <w:r>
        <w:rPr>
          <w:b w:val="0"/>
          <w:i/>
        </w:rPr>
        <w:t>Post-hoc adversary audit (mean  std across the  paid-API audit seeds: 17, 23, 41, 53, 89). The audit runs every critic on every condition's final pooled batch with RNG re-seeded per condition; the real-vs-real null reference (computed once) is  in this domain. Pack accuracy below the null reference indicates the synthetic batch is at-least-as-diverse as the real seed set; above null indicates pack-level homogeneity. We omit Coverage AUROC (saturates at  for every condition under in-sample fit; cross-validated AUROC, reported in Section 7.2, is below saturation) and the Mode-Seeking ratio (approximately constant at  for every condition under the TF-IDF default; the embedding-based ratio also lands in a narrow band). Both quantities are reported in the released artifacts but do not differentiate conditions on this task.</w:t>
      </w:r>
    </w:p>
    <w:tbl>
      <w:tblPr>
        <w:tblStyle w:val="Table"/>
        <w:tblW w:type="pct" w:w="5000"/>
        <w:jc w:val="center"/>
        <w:tblLook w:firstRow="1" w:lastRow="0" w:firstColumn="0" w:lastColumn="0" w:noHBand="0" w:noVBand="0" w:val="0020"/>
        <w:tblCaption w:val="Table G1: Post-hoc adversary audit (mean \pm std across the 5 paid-API audit seeds: 17, 23, 41, 53, 89). The audit runs every critic on every condition's final pooled batch with RNG re-seeded per condition; the real-vs-real null reference (computed once) is \mathrm{PackAcc}_{\text{null}} = 0.56 in this domain. Pack accuracy below the null reference indicates the synthetic batch is at-least-as-diverse as the real seed set; above null indicates pack-level homogeneity. We omit Coverage AUROC (saturates at 1.00 for every condition under in-sample fit; cross-validated AUROC, reported in Section 7.2, is below saturation) and the Mode-Seeking ratio (approximately constant at 0.23 \pm 0.01 for every condition under the TF-IDF default; the embedding-based ratio also lands in a narrow band). Both quantities are reported in the released artifacts but do not differentiate conditions on this task."/>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980"/>
        <w:gridCol w:w="1980"/>
        <w:gridCol w:w="1980"/>
        <w:gridCol w:w="198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Condition</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Pack acc. (audit)</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Pack − null</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Hunter tics found</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Naive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0.45 ± 0.15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−0.11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3.60 ± 0.55</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Few-shot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0.34 ± 0.07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−0.22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4.00 ± 0.00</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Self-critique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0.56 ± 0.09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+0.00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3.60 ± 0.55</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Realism-only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0.55 ± 0.03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−0.01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2.60 ± 1.14</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Diversity-only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0.59 ± 0.11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+0.03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4.00 ± 0.00</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Baseline-3C</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0.58 ± 0.10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+0.02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3.80 ± 0.45</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SynSmith</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0.53 ± 0.08</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−0.03</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3.80 ± 0.45</w:t>
            </w:r>
          </w:p>
        </w:tc>
      </w:tr>
    </w:tbl>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1" w:space="288"/>
          <w:docGrid w:linePitch="360"/>
        </w:sectPr>
      </w:pPr>
    </w:p>
    <w:p>
      <w:pPr>
        <w:pStyle w:val="BodyText"/>
        <w:jc w:val="both"/>
        <w:keepNext w:val="0"/>
        <w:keepLines w:val="0"/>
        <w:widowControl w:val="1"/>
      </w:pPr>
      <w:r>
        <w:t xml:space="preserve">Two adversary metrics differentiate conditions cleanly. First, the</w:t>
      </w:r>
      <w:r>
        <w:t xml:space="preserve"> </w:t>
      </w:r>
      <w:r>
        <w:rPr>
          <w:b/>
          <w:bCs/>
        </w:rPr>
        <w:t xml:space="preserve">Pack Discriminator</w:t>
      </w:r>
      <w:r>
        <w:t xml:space="preserve">: Few-shot achieves the lowest pack accuracy (</w:t>
      </w:r>
      <m:oMath>
        <m:r>
          <m:t>0.34</m:t>
        </m:r>
        <m:r>
          <m:rPr>
            <m:sty m:val="p"/>
          </m:rPr>
          <m:t>±</m:t>
        </m:r>
        <m:r>
          <m:t>0.07</m:t>
        </m:r>
      </m:oMath>
      <w:r>
        <w:t xml:space="preserve">, well below the</w:t>
      </w:r>
      <w:r>
        <w:t xml:space="preserve"> </w:t>
      </w:r>
      <m:oMath>
        <m:r>
          <m:t>0.56</m:t>
        </m:r>
      </m:oMath>
      <w:r>
        <w:t xml:space="preserve"> </w:t>
      </w:r>
      <w:r>
        <w:t xml:space="preserve">real-vs-real null reference) because its 16-sample batch inherits diversity from an 8-exemplar real pool that the iterated conditions narrow through repeated prompting. Among iterated conditions, SynSmith sits at the low (more diverse) end (</w:t>
      </w:r>
      <m:oMath>
        <m:r>
          <m:t>0.53</m:t>
        </m:r>
      </m:oMath>
      <w:r>
        <w:t xml:space="preserve">, below null), matching the distinct-</w:t>
      </w:r>
      <m:oMath>
        <m:r>
          <m:t>n</m:t>
        </m:r>
      </m:oMath>
      <w:r>
        <w:t xml:space="preserve"> </w:t>
      </w:r>
      <w:r>
        <w:t xml:space="preserve">and self-BLEU ordering from Table F1 and corroborating the Vendi-score ranking. Second, the</w:t>
      </w:r>
      <w:r>
        <w:t xml:space="preserve"> </w:t>
      </w:r>
      <w:r>
        <w:rPr>
          <w:b/>
          <w:bCs/>
        </w:rPr>
        <w:t xml:space="preserve">Mode Hunter</w:t>
      </w:r>
      <w:r>
        <w:t xml:space="preserve"> </w:t>
      </w:r>
      <w:r>
        <w:t xml:space="preserve">finds an average of</w:t>
      </w:r>
      <w:r>
        <w:t xml:space="preserve"> </w:t>
      </w:r>
      <m:oMath>
        <m:r>
          <m:t>3.6</m:t>
        </m:r>
      </m:oMath>
      <w:r>
        <w:t xml:space="preserve"> </w:t>
      </w:r>
      <w:r>
        <w:t xml:space="preserve">to</w:t>
      </w:r>
      <w:r>
        <w:t xml:space="preserve"> </w:t>
      </w:r>
      <m:oMath>
        <m:r>
          <m:t>3.8</m:t>
        </m:r>
      </m:oMath>
      <w:r>
        <w:t xml:space="preserve"> </w:t>
      </w:r>
      <w:r>
        <w:t xml:space="preserve">residual LLM-tic phrasings in the final pooled batch of each iterated condition; the SynSmith Mode Hunter library accumulates</w:t>
      </w:r>
      <w:r>
        <w:t xml:space="preserve"> </w:t>
      </w:r>
      <m:oMath>
        <m:r>
          <m:t>11.6</m:t>
        </m:r>
        <m:r>
          <m:rPr>
            <m:sty m:val="p"/>
          </m:rPr>
          <m:t>±</m:t>
        </m:r>
        <m:r>
          <m:t>0.6</m:t>
        </m:r>
      </m:oMath>
      <w:r>
        <w:t xml:space="preserve"> </w:t>
      </w:r>
      <w:r>
        <w:t xml:space="preserve">distinct banned phrasings across three iterations and we verify each is suppressed in subsequent generation.</w:t>
      </w:r>
    </w:p>
    <w:p>
      <w:pPr>
        <w:pStyle w:val="BodyText"/>
        <w:jc w:val="both"/>
        <w:keepNext w:val="0"/>
        <w:keepLines w:val="0"/>
        <w:widowControl w:val="1"/>
      </w:pPr>
      <w:r>
        <w:t xml:space="preserve">Code:</w:t>
      </w:r>
      <w:r>
        <w:t xml:space="preserve"> </w:t>
      </w:r>
      <w:hyperlink r:id="rId10">
        <w:r>
          <w:rPr>
            <w:rStyle w:val="Hyperlink"/>
          </w:rPr>
          <w:t xml:space="preserve">github.com/ApartsinProjects/SynSmith</w:t>
        </w:r>
      </w:hyperlink>
      <w:r>
        <w:t xml:space="preserve">.</w:t>
      </w:r>
      <w:r>
        <w:t xml:space="preserve"> </w:t>
      </w:r>
      <w:r>
        <w:t xml:space="preserve">Word version:</w:t>
      </w:r>
      <w:r>
        <w:t xml:space="preserve"> </w:t>
      </w:r>
      <w:hyperlink r:id="rId208">
        <w:r>
          <w:rPr>
            <w:rStyle w:val="Hyperlink"/>
          </w:rPr>
          <w:t xml:space="preserve">synsmith.docx</w:t>
        </w:r>
      </w:hyperlink>
      <w:r>
        <w:t xml:space="preserve"> </w:t>
      </w:r>
      <w:r>
        <w:t xml:space="preserve">(single-column) ·</w:t>
      </w:r>
      <w:r>
        <w:t xml:space="preserve"> </w:t>
      </w:r>
      <w:hyperlink r:id="rId209">
        <w:r>
          <w:rPr>
            <w:rStyle w:val="Hyperlink"/>
          </w:rPr>
          <w:t xml:space="preserve">synsmith_2col.docx</w:t>
        </w:r>
      </w:hyperlink>
      <w:r>
        <w:t xml:space="preserve"> </w:t>
      </w:r>
      <w:r>
        <w:t xml:space="preserve">(two-column arXiv-style).</w:t>
      </w:r>
    </w:p>
    <w:bookmarkEnd w:id="210"/>
    <w:sectPr w:rsidR="00FC693F" w:rsidRPr="0006063C" w:rsidSect="00034616">
      <w:type w:val="continuous"/>
      <w:pgSz w:h="15840" w:w="12240"/>
      <w:pgMar w:bottom="1080" w:footer="720" w:gutter="0" w:header="720" w:left="1080" w:right="1080" w:top="1080"/>
      <w:cols w:num="2" w:space="288" w:equalWidth="1"/>
      <w:docGrid w:linePitch="36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spacing w:before="0" w:after="0"/>
      <w:jc w:val="center"/>
    </w:pPr>
    <w:r>
      <w:rPr>
        <w:rFonts w:ascii="Georgia" w:hAnsi="Georgia"/>
        <w:sz w:val="18"/>
      </w:rPr>
      <w:fldChar w:fldCharType="begin"/>
      <w:instrText xml:space="preserve">PAGE</w:instrText>
      <w:fldChar w:fldCharType="separate"/>
      <w:t>1</w:t>
      <w:fldChar w:fldCharType="end"/>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abstractNum w:abstractNumId="0">
    <w:nsid w:val="FFFFFF7C"/>
    <w:multiLevelType w:val="singleLevel"/>
    <w:tmpl w:val="C310EC42"/>
    <w:lvl w:ilvl="0">
      <w:start w:val="1"/>
      <w:numFmt w:val="decimal"/>
      <w:lvlText w:val="%1."/>
      <w:lvlJc w:val="left"/>
      <w:pPr>
        <w:tabs>
          <w:tab w:pos="1800" w:val="num"/>
        </w:tabs>
        <w:ind w:hanging="360" w:left="1800"/>
      </w:pPr>
    </w:lvl>
  </w:abstractNum>
  <w:abstractNum w:abstractNumId="1">
    <w:nsid w:val="FFFFFF7D"/>
    <w:multiLevelType w:val="singleLevel"/>
    <w:tmpl w:val="E4089024"/>
    <w:lvl w:ilvl="0">
      <w:start w:val="1"/>
      <w:numFmt w:val="decimal"/>
      <w:lvlText w:val="%1."/>
      <w:lvlJc w:val="left"/>
      <w:pPr>
        <w:tabs>
          <w:tab w:pos="1440" w:val="num"/>
        </w:tabs>
        <w:ind w:hanging="360" w:left="1440"/>
      </w:pPr>
    </w:lvl>
  </w:abstractNum>
  <w:abstractNum w:abstractNumId="2">
    <w:nsid w:val="FFFFFF7E"/>
    <w:multiLevelType w:val="singleLevel"/>
    <w:tmpl w:val="FB12693A"/>
    <w:lvl w:ilvl="0">
      <w:start w:val="1"/>
      <w:numFmt w:val="decimal"/>
      <w:pStyle w:val="ListNumber3"/>
      <w:lvlText w:val="%1."/>
      <w:lvlJc w:val="left"/>
      <w:pPr>
        <w:tabs>
          <w:tab w:pos="1080" w:val="num"/>
        </w:tabs>
        <w:ind w:hanging="360" w:left="1080"/>
      </w:pPr>
    </w:lvl>
  </w:abstractNum>
  <w:abstractNum w:abstractNumId="3">
    <w:nsid w:val="FFFFFF7F"/>
    <w:multiLevelType w:val="singleLevel"/>
    <w:tmpl w:val="38441652"/>
    <w:lvl w:ilvl="0">
      <w:start w:val="1"/>
      <w:numFmt w:val="decimal"/>
      <w:pStyle w:val="ListNumber2"/>
      <w:lvlText w:val="%1."/>
      <w:lvlJc w:val="left"/>
      <w:pPr>
        <w:tabs>
          <w:tab w:pos="720" w:val="num"/>
        </w:tabs>
        <w:ind w:hanging="360" w:left="720"/>
      </w:pPr>
    </w:lvl>
  </w:abstractNum>
  <w:abstractNum w:abstractNumId="4">
    <w:nsid w:val="FFFFFF81"/>
    <w:multiLevelType w:val="singleLevel"/>
    <w:tmpl w:val="171AC3A4"/>
    <w:lvl w:ilvl="0">
      <w:start w:val="1"/>
      <w:numFmt w:val="bullet"/>
      <w:lvlText w:val=""/>
      <w:lvlJc w:val="left"/>
      <w:pPr>
        <w:tabs>
          <w:tab w:pos="1440" w:val="num"/>
        </w:tabs>
        <w:ind w:hanging="360" w:left="144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pos="1080" w:val="num"/>
        </w:tabs>
        <w:ind w:hanging="360" w:left="108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pos="720" w:val="num"/>
        </w:tabs>
        <w:ind w:hanging="360" w:left="72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pos="360" w:val="num"/>
        </w:tabs>
        <w:ind w:hanging="360" w:left="360"/>
      </w:pPr>
    </w:lvl>
  </w:abstractNum>
  <w:abstractNum w:abstractNumId="8">
    <w:nsid w:val="FFFFFF89"/>
    <w:multiLevelType w:val="singleLevel"/>
    <w:tmpl w:val="29761A62"/>
    <w:lvl w:ilvl="0">
      <w:start w:val="1"/>
      <w:numFmt w:val="bullet"/>
      <w:pStyle w:val="ListBullet"/>
      <w:lvlText w:val=""/>
      <w:lvlJc w:val="left"/>
      <w:pPr>
        <w:tabs>
          <w:tab w:pos="360" w:val="num"/>
        </w:tabs>
        <w:ind w:hanging="360" w:left="360"/>
      </w:pPr>
      <w:rPr>
        <w:rFonts w:ascii="Symbol" w:hAnsi="Symbol"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201">
    <w:nsid w:val="00A99201"/>
    <w:multiLevelType w:val="multilevel"/>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00">
    <w:abstractNumId w:val="990"/>
  </w:num>
  <w:num w:numId="1001">
    <w:abstractNumId w:val="991"/>
  </w:num>
  <w:num w:numId="1002">
    <w:abstractNumId w:val="991"/>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val="bestFit"/>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w:themeFontLang w:eastAsia="ja-JP" w:val="en-US"/>
  <w:clrSchemeMapping w:accent1="accent1" w:accent2="accent2" w:accent3="accent3" w:accent4="accent4" w:accent5="accent5" w:accent6="accent6" w:bg1="light1" w:bg2="light2" w:followedHyperlink="followedHyperlink" w:hyperlink="hyperlink" w:t1="dark1" w:t2="dark2"/>
  <w:doNotAutoCompressPictures/>
  <w:shapeDefaults>
    <o:shapedefaults spidmax="1027" v:ext="edit"/>
    <o:shapelayout v:ext="edit">
      <o:idmap data="1" v:ext="edit"/>
    </o:shapelayout>
  </w:shapeDefaults>
  <w:decimalSymbol w:val="."/>
  <w:listSeparator w:val=","/>
  <w:autoHyphenation w:val="true"/>
  <w:doNotHyphenateCaps w:val="false"/>
  <w:consecutiveHyphenLimit w:val="2"/>
  <w:hyphenationZone w:val="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cstheme="minorBidi" w:eastAsiaTheme="minorEastAsia" w:hAnsiTheme="minorHAnsi"/>
        <w:sz w:val="22"/>
        <w:szCs w:val="22"/>
        <w:lang w:bidi="ar-SA" w:eastAsia="en-US" w:val="en"/>
      </w:rPr>
    </w:rPrDefault>
    <w:pPrDefault>
      <w:pPr>
        <w:spacing w:after="200" w:line="276" w:lineRule="auto"/>
      </w:pPr>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FC693F"/>
    <w:pPr>
      <w:keepNext w:val="0"/>
      <w:spacing w:after="0" w:before="0" w:line="240" w:lineRule="auto"/>
    </w:pPr>
    <w:rPr>
      <w:rFonts w:ascii="Georgia" w:hAnsi="Georgia"/>
      <w:b w:val="0"/>
      <w:i w:val="0"/>
      <w:sz w:val="20"/>
    </w:rPr>
  </w:style>
  <w:style w:styleId="Header" w:type="paragraph">
    <w:name w:val="header"/>
    <w:basedOn w:val="Normal"/>
    <w:link w:val="HeaderChar"/>
    <w:uiPriority w:val="99"/>
    <w:unhideWhenUsed/>
    <w:rsid w:val="00E618BF"/>
    <w:pPr>
      <w:tabs>
        <w:tab w:pos="4680" w:val="center"/>
        <w:tab w:pos="9360" w:val="right"/>
      </w:tabs>
      <w:spacing w:after="0" w:line="240" w:lineRule="auto"/>
    </w:pPr>
  </w:style>
  <w:style w:customStyle="1" w:styleId="HeaderChar" w:type="character">
    <w:name w:val="Header Char"/>
    <w:basedOn w:val="DefaultParagraphFont"/>
    <w:link w:val="Header"/>
    <w:uiPriority w:val="99"/>
    <w:rsid w:val="00E618BF"/>
  </w:style>
  <w:style w:styleId="Footer" w:type="paragraph">
    <w:name w:val="footer"/>
    <w:basedOn w:val="Normal"/>
    <w:link w:val="FooterChar"/>
    <w:uiPriority w:val="99"/>
    <w:unhideWhenUsed/>
    <w:rsid w:val="00E618BF"/>
    <w:pPr>
      <w:tabs>
        <w:tab w:pos="4680" w:val="center"/>
        <w:tab w:pos="9360" w:val="right"/>
      </w:tabs>
      <w:spacing w:after="0" w:line="240" w:lineRule="auto"/>
    </w:pPr>
  </w:style>
  <w:style w:customStyle="1" w:styleId="FooterChar" w:type="character">
    <w:name w:val="Footer Char"/>
    <w:basedOn w:val="DefaultParagraphFont"/>
    <w:link w:val="Footer"/>
    <w:uiPriority w:val="99"/>
    <w:rsid w:val="00E618BF"/>
  </w:style>
  <w:style w:styleId="Heading1" w:type="paragraph">
    <w:name w:val="heading 1"/>
    <w:basedOn w:val="Normal"/>
    <w:next w:val="Normal"/>
    <w:link w:val="Heading1Char"/>
    <w:uiPriority w:val="9"/>
    <w:qFormat/>
    <w:rsid w:val="00FC693F"/>
    <w:pPr>
      <w:keepNext/>
      <w:keepLines/>
      <w:spacing w:after="120" w:before="240"/>
      <w:outlineLvl w:val="0"/>
    </w:pPr>
    <w:rPr>
      <w:rFonts w:ascii="Georgia" w:asciiTheme="majorHAnsi" w:cstheme="majorBidi" w:eastAsiaTheme="majorEastAsia" w:hAnsi="Georgia" w:hAnsiTheme="majorHAnsi"/>
      <w:b/>
      <w:bCs/>
      <w:i w:val="0"/>
      <w:color w:themeColor="accent1" w:themeShade="BF" w:val="365F91"/>
      <w:sz w:val="24"/>
      <w:szCs w:val="28"/>
    </w:rPr>
  </w:style>
  <w:style w:styleId="Heading2" w:type="paragraph">
    <w:name w:val="heading 2"/>
    <w:basedOn w:val="Normal"/>
    <w:next w:val="Normal"/>
    <w:link w:val="Heading2Char"/>
    <w:uiPriority w:val="9"/>
    <w:unhideWhenUsed/>
    <w:qFormat/>
    <w:rsid w:val="00FC693F"/>
    <w:pPr>
      <w:keepNext/>
      <w:keepLines/>
      <w:spacing w:after="80" w:before="200"/>
      <w:outlineLvl w:val="1"/>
    </w:pPr>
    <w:rPr>
      <w:rFonts w:ascii="Georgia" w:asciiTheme="majorHAnsi" w:cstheme="majorBidi" w:eastAsiaTheme="majorEastAsia" w:hAnsi="Georgia" w:hAnsiTheme="majorHAnsi"/>
      <w:b/>
      <w:bCs/>
      <w:i w:val="0"/>
      <w:color w:themeColor="accent1" w:val="4F81BD"/>
      <w:sz w:val="22"/>
      <w:szCs w:val="26"/>
    </w:rPr>
  </w:style>
  <w:style w:styleId="Heading3" w:type="paragraph">
    <w:name w:val="heading 3"/>
    <w:basedOn w:val="Normal"/>
    <w:next w:val="Normal"/>
    <w:link w:val="Heading3Char"/>
    <w:uiPriority w:val="9"/>
    <w:unhideWhenUsed/>
    <w:qFormat/>
    <w:rsid w:val="00FC693F"/>
    <w:pPr>
      <w:keepNext/>
      <w:keepLines/>
      <w:spacing w:after="80" w:before="160"/>
      <w:outlineLvl w:val="2"/>
    </w:pPr>
    <w:rPr>
      <w:rFonts w:ascii="Georgia" w:asciiTheme="majorHAnsi" w:cstheme="majorBidi" w:eastAsiaTheme="majorEastAsia" w:hAnsi="Georgia" w:hAnsiTheme="majorHAnsi"/>
      <w:b/>
      <w:bCs/>
      <w:i w:val="0"/>
      <w:color w:themeColor="accent1" w:val="4F81BD"/>
      <w:sz w:val="20"/>
    </w:rPr>
  </w:style>
  <w:style w:styleId="Heading4" w:type="paragraph">
    <w:name w:val="heading 4"/>
    <w:basedOn w:val="Normal"/>
    <w:next w:val="Normal"/>
    <w:link w:val="Heading4Char"/>
    <w:uiPriority w:val="9"/>
    <w:semiHidden/>
    <w:unhideWhenUsed/>
    <w:qFormat/>
    <w:rsid w:val="00FC693F"/>
    <w:pPr>
      <w:keepNext/>
      <w:keepLines/>
      <w:spacing w:after="0" w:before="200"/>
      <w:outlineLvl w:val="3"/>
    </w:pPr>
    <w:rPr>
      <w:rFonts w:asciiTheme="majorHAnsi" w:cstheme="majorBidi" w:eastAsiaTheme="majorEastAsia" w:hAnsiTheme="majorHAnsi"/>
      <w:b/>
      <w:bCs/>
      <w:i/>
      <w:iCs/>
      <w:color w:themeColor="accent1" w:val="4F81BD"/>
    </w:rPr>
  </w:style>
  <w:style w:styleId="Heading5" w:type="paragraph">
    <w:name w:val="heading 5"/>
    <w:basedOn w:val="Normal"/>
    <w:next w:val="Normal"/>
    <w:link w:val="Heading5Char"/>
    <w:uiPriority w:val="9"/>
    <w:semiHidden/>
    <w:unhideWhenUsed/>
    <w:qFormat/>
    <w:rsid w:val="00FC693F"/>
    <w:pPr>
      <w:keepNext/>
      <w:keepLines/>
      <w:spacing w:after="0" w:before="200"/>
      <w:outlineLvl w:val="4"/>
    </w:pPr>
    <w:rPr>
      <w:rFonts w:asciiTheme="majorHAnsi" w:cstheme="majorBidi" w:eastAsiaTheme="majorEastAsia" w:hAnsiTheme="majorHAnsi"/>
      <w:color w:themeColor="accent1" w:themeShade="7F" w:val="243F60"/>
    </w:rPr>
  </w:style>
  <w:style w:styleId="Heading6" w:type="paragraph">
    <w:name w:val="heading 6"/>
    <w:basedOn w:val="Normal"/>
    <w:next w:val="Normal"/>
    <w:link w:val="Heading6Char"/>
    <w:uiPriority w:val="9"/>
    <w:semiHidden/>
    <w:unhideWhenUsed/>
    <w:qFormat/>
    <w:rsid w:val="00FC693F"/>
    <w:pPr>
      <w:keepNext/>
      <w:keepLines/>
      <w:spacing w:after="0" w:before="200"/>
      <w:outlineLvl w:val="5"/>
    </w:pPr>
    <w:rPr>
      <w:rFonts w:asciiTheme="majorHAnsi" w:cstheme="majorBidi" w:eastAsiaTheme="majorEastAsia" w:hAnsiTheme="majorHAnsi"/>
      <w:i/>
      <w:iCs/>
      <w:color w:themeColor="accent1" w:themeShade="7F" w:val="243F60"/>
    </w:rPr>
  </w:style>
  <w:style w:styleId="Heading7" w:type="paragraph">
    <w:name w:val="heading 7"/>
    <w:basedOn w:val="Normal"/>
    <w:next w:val="Normal"/>
    <w:link w:val="Heading7Char"/>
    <w:uiPriority w:val="9"/>
    <w:semiHidden/>
    <w:unhideWhenUsed/>
    <w:qFormat/>
    <w:rsid w:val="00FC693F"/>
    <w:pPr>
      <w:keepNext/>
      <w:keepLines/>
      <w:spacing w:after="0" w:before="200"/>
      <w:outlineLvl w:val="6"/>
    </w:pPr>
    <w:rPr>
      <w:rFonts w:asciiTheme="majorHAnsi" w:cstheme="majorBidi" w:eastAsiaTheme="majorEastAsia" w:hAnsiTheme="majorHAnsi"/>
      <w:i/>
      <w:iCs/>
      <w:color w:themeColor="text1" w:themeTint="BF" w:val="404040"/>
    </w:rPr>
  </w:style>
  <w:style w:styleId="Heading8" w:type="paragraph">
    <w:name w:val="heading 8"/>
    <w:basedOn w:val="Normal"/>
    <w:next w:val="Normal"/>
    <w:link w:val="Heading8Char"/>
    <w:uiPriority w:val="9"/>
    <w:semiHidden/>
    <w:unhideWhenUsed/>
    <w:qFormat/>
    <w:rsid w:val="00FC693F"/>
    <w:pPr>
      <w:keepNext/>
      <w:keepLines/>
      <w:spacing w:after="0" w:before="200"/>
      <w:outlineLvl w:val="7"/>
    </w:pPr>
    <w:rPr>
      <w:rFonts w:asciiTheme="majorHAnsi" w:cstheme="majorBidi" w:eastAsiaTheme="majorEastAsia" w:hAnsiTheme="majorHAnsi"/>
      <w:color w:themeColor="accent1" w:val="4F81BD"/>
      <w:sz w:val="20"/>
      <w:szCs w:val="20"/>
    </w:rPr>
  </w:style>
  <w:style w:styleId="Heading9" w:type="paragraph">
    <w:name w:val="heading 9"/>
    <w:basedOn w:val="Normal"/>
    <w:next w:val="Normal"/>
    <w:link w:val="Heading9Char"/>
    <w:uiPriority w:val="9"/>
    <w:semiHidden/>
    <w:unhideWhenUsed/>
    <w:qFormat/>
    <w:rsid w:val="00FC693F"/>
    <w:pPr>
      <w:keepNext/>
      <w:keepLines/>
      <w:spacing w:after="0" w:before="200"/>
      <w:outlineLvl w:val="8"/>
    </w:pPr>
    <w:rPr>
      <w:rFonts w:asciiTheme="majorHAnsi" w:cstheme="majorBidi" w:eastAsiaTheme="majorEastAsia" w:hAnsiTheme="majorHAnsi"/>
      <w:i/>
      <w:iCs/>
      <w:color w:themeColor="text1" w:themeTint="BF" w:val="404040"/>
      <w:sz w:val="20"/>
      <w:szCs w:val="20"/>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NoSpacing" w:type="paragraph">
    <w:name w:val="No Spacing"/>
    <w:uiPriority w:val="1"/>
    <w:qFormat/>
    <w:rsid w:val="00FC693F"/>
    <w:pPr>
      <w:spacing w:after="0" w:line="240" w:lineRule="auto"/>
    </w:pPr>
  </w:style>
  <w:style w:customStyle="1" w:styleId="Heading1Char" w:type="character">
    <w:name w:val="Heading 1 Char"/>
    <w:basedOn w:val="DefaultParagraphFont"/>
    <w:link w:val="Heading1"/>
    <w:uiPriority w:val="9"/>
    <w:rsid w:val="00FC693F"/>
    <w:rPr>
      <w:rFonts w:asciiTheme="majorHAnsi" w:cstheme="majorBidi" w:eastAsiaTheme="majorEastAsia" w:hAnsiTheme="majorHAnsi"/>
      <w:b/>
      <w:bCs/>
      <w:color w:themeColor="accent1" w:themeShade="BF" w:val="365F91"/>
      <w:sz w:val="28"/>
      <w:szCs w:val="28"/>
    </w:rPr>
  </w:style>
  <w:style w:customStyle="1" w:styleId="Heading2Char" w:type="character">
    <w:name w:val="Heading 2 Char"/>
    <w:basedOn w:val="DefaultParagraphFont"/>
    <w:link w:val="Heading2"/>
    <w:uiPriority w:val="9"/>
    <w:rsid w:val="00FC693F"/>
    <w:rPr>
      <w:rFonts w:asciiTheme="majorHAnsi" w:cstheme="majorBidi" w:eastAsiaTheme="majorEastAsia" w:hAnsiTheme="majorHAnsi"/>
      <w:b/>
      <w:bCs/>
      <w:color w:themeColor="accent1" w:val="4F81BD"/>
      <w:sz w:val="26"/>
      <w:szCs w:val="26"/>
    </w:rPr>
  </w:style>
  <w:style w:customStyle="1" w:styleId="Heading3Char" w:type="character">
    <w:name w:val="Heading 3 Char"/>
    <w:basedOn w:val="DefaultParagraphFont"/>
    <w:link w:val="Heading3"/>
    <w:uiPriority w:val="9"/>
    <w:rsid w:val="00FC693F"/>
    <w:rPr>
      <w:rFonts w:asciiTheme="majorHAnsi" w:cstheme="majorBidi" w:eastAsiaTheme="majorEastAsia" w:hAnsiTheme="majorHAnsi"/>
      <w:b/>
      <w:bCs/>
      <w:color w:themeColor="accent1" w:val="4F81BD"/>
    </w:rPr>
  </w:style>
  <w:style w:styleId="Title" w:type="paragraph">
    <w:name w:val="Title"/>
    <w:basedOn w:val="Normal"/>
    <w:next w:val="Normal"/>
    <w:link w:val="TitleChar"/>
    <w:uiPriority w:val="10"/>
    <w:qFormat/>
    <w:rsid w:val="00FC693F"/>
    <w:pPr>
      <w:keepNext w:val="0"/>
      <w:pBdr>
        <w:bottom w:color="4F81BD" w:space="4" w:sz="8" w:themeColor="accent1" w:val="single"/>
      </w:pBdr>
      <w:spacing w:after="160" w:before="0" w:line="240" w:lineRule="auto"/>
      <w:contextualSpacing/>
      <w:jc w:val="center"/>
    </w:pPr>
    <w:rPr>
      <w:rFonts w:ascii="Georgia" w:asciiTheme="majorHAnsi" w:cstheme="majorBidi" w:eastAsiaTheme="majorEastAsia" w:hAnsi="Georgia" w:hAnsiTheme="majorHAnsi"/>
      <w:b/>
      <w:i w:val="0"/>
      <w:color w:themeColor="text2" w:themeShade="BF" w:val="17365D"/>
      <w:spacing w:val="5"/>
      <w:kern w:val="28"/>
      <w:sz w:val="34"/>
      <w:szCs w:val="52"/>
    </w:rPr>
  </w:style>
  <w:style w:customStyle="1" w:styleId="TitleChar" w:type="character">
    <w:name w:val="Title Char"/>
    <w:basedOn w:val="DefaultParagraphFont"/>
    <w:link w:val="Title"/>
    <w:uiPriority w:val="10"/>
    <w:rsid w:val="00FC693F"/>
    <w:rPr>
      <w:rFonts w:asciiTheme="majorHAnsi" w:cstheme="majorBidi" w:eastAsiaTheme="majorEastAsia" w:hAnsiTheme="majorHAnsi"/>
      <w:color w:themeColor="text2" w:themeShade="BF" w:val="17365D"/>
      <w:spacing w:val="5"/>
      <w:kern w:val="28"/>
      <w:sz w:val="52"/>
      <w:szCs w:val="52"/>
    </w:rPr>
  </w:style>
  <w:style w:styleId="Subtitle" w:type="paragraph">
    <w:name w:val="Subtitle"/>
    <w:basedOn w:val="Normal"/>
    <w:next w:val="Normal"/>
    <w:link w:val="SubtitleChar"/>
    <w:uiPriority w:val="11"/>
    <w:qFormat/>
    <w:rsid w:val="00FC693F"/>
    <w:pPr>
      <w:keepNext w:val="0"/>
      <w:numPr>
        <w:ilvl w:val="1"/>
      </w:numPr>
      <w:spacing w:after="80" w:before="0"/>
      <w:jc w:val="center"/>
    </w:pPr>
    <w:rPr>
      <w:rFonts w:ascii="Georgia" w:asciiTheme="majorHAnsi" w:cstheme="majorBidi" w:eastAsiaTheme="majorEastAsia" w:hAnsi="Georgia" w:hAnsiTheme="majorHAnsi"/>
      <w:b w:val="0"/>
      <w:i w:val="0"/>
      <w:iCs/>
      <w:color w:themeColor="accent1" w:val="4F81BD"/>
      <w:spacing w:val="15"/>
      <w:sz w:val="22"/>
      <w:szCs w:val="24"/>
    </w:rPr>
  </w:style>
  <w:style w:customStyle="1" w:styleId="SubtitleChar" w:type="character">
    <w:name w:val="Subtitle Char"/>
    <w:basedOn w:val="DefaultParagraphFont"/>
    <w:link w:val="Subtitle"/>
    <w:uiPriority w:val="11"/>
    <w:rsid w:val="00FC693F"/>
    <w:rPr>
      <w:rFonts w:asciiTheme="majorHAnsi" w:cstheme="majorBidi" w:eastAsiaTheme="majorEastAsia" w:hAnsiTheme="majorHAnsi"/>
      <w:i/>
      <w:iCs/>
      <w:color w:themeColor="accent1" w:val="4F81BD"/>
      <w:spacing w:val="15"/>
      <w:sz w:val="24"/>
      <w:szCs w:val="24"/>
    </w:rPr>
  </w:style>
  <w:style w:styleId="ListParagraph" w:type="paragraph">
    <w:name w:val="List Paragraph"/>
    <w:basedOn w:val="Normal"/>
    <w:uiPriority w:val="34"/>
    <w:qFormat/>
    <w:rsid w:val="00FC693F"/>
    <w:pPr>
      <w:ind w:left="720"/>
      <w:contextualSpacing/>
    </w:pPr>
  </w:style>
  <w:style w:styleId="BodyText" w:type="paragraph">
    <w:name w:val="Body Text"/>
    <w:basedOn w:val="Normal"/>
    <w:link w:val="BodyTextChar"/>
    <w:uiPriority w:val="99"/>
    <w:unhideWhenUsed/>
    <w:rsid w:val="00AA1D8D"/>
    <w:pPr>
      <w:keepNext w:val="0"/>
      <w:spacing w:after="0" w:before="0" w:line="240" w:lineRule="auto"/>
      <w:ind w:firstLine="288"/>
      <w:jc w:val="both"/>
    </w:pPr>
    <w:rPr>
      <w:rFonts w:ascii="Georgia" w:hAnsi="Georgia"/>
      <w:b w:val="0"/>
      <w:i w:val="0"/>
      <w:sz w:val="20"/>
    </w:rPr>
  </w:style>
  <w:style w:customStyle="1" w:styleId="BodyTextChar" w:type="character">
    <w:name w:val="Body Text Char"/>
    <w:basedOn w:val="DefaultParagraphFont"/>
    <w:link w:val="BodyText"/>
    <w:uiPriority w:val="99"/>
    <w:rsid w:val="00AA1D8D"/>
  </w:style>
  <w:style w:styleId="BodyText2" w:type="paragraph">
    <w:name w:val="Body Text 2"/>
    <w:basedOn w:val="Normal"/>
    <w:link w:val="BodyText2Char"/>
    <w:uiPriority w:val="99"/>
    <w:unhideWhenUsed/>
    <w:rsid w:val="00AA1D8D"/>
    <w:pPr>
      <w:spacing w:after="120" w:line="480" w:lineRule="auto"/>
    </w:pPr>
  </w:style>
  <w:style w:customStyle="1" w:styleId="BodyText2Char" w:type="character">
    <w:name w:val="Body Text 2 Char"/>
    <w:basedOn w:val="DefaultParagraphFont"/>
    <w:link w:val="BodyText2"/>
    <w:uiPriority w:val="99"/>
    <w:rsid w:val="00AA1D8D"/>
  </w:style>
  <w:style w:styleId="BodyText3" w:type="paragraph">
    <w:name w:val="Body Text 3"/>
    <w:basedOn w:val="Normal"/>
    <w:link w:val="BodyText3Char"/>
    <w:uiPriority w:val="99"/>
    <w:unhideWhenUsed/>
    <w:rsid w:val="00AA1D8D"/>
    <w:pPr>
      <w:spacing w:after="120"/>
    </w:pPr>
    <w:rPr>
      <w:sz w:val="16"/>
      <w:szCs w:val="16"/>
    </w:rPr>
  </w:style>
  <w:style w:customStyle="1" w:styleId="BodyText3Char" w:type="character">
    <w:name w:val="Body Text 3 Char"/>
    <w:basedOn w:val="DefaultParagraphFont"/>
    <w:link w:val="BodyText3"/>
    <w:uiPriority w:val="99"/>
    <w:rsid w:val="00AA1D8D"/>
    <w:rPr>
      <w:sz w:val="16"/>
      <w:szCs w:val="16"/>
    </w:rPr>
  </w:style>
  <w:style w:styleId="List" w:type="paragraph">
    <w:name w:val="List"/>
    <w:basedOn w:val="Normal"/>
    <w:uiPriority w:val="99"/>
    <w:unhideWhenUsed/>
    <w:rsid w:val="00AA1D8D"/>
    <w:pPr>
      <w:ind w:hanging="360" w:left="360"/>
      <w:contextualSpacing/>
    </w:pPr>
  </w:style>
  <w:style w:styleId="List2" w:type="paragraph">
    <w:name w:val="List 2"/>
    <w:basedOn w:val="Normal"/>
    <w:uiPriority w:val="99"/>
    <w:unhideWhenUsed/>
    <w:rsid w:val="00326F90"/>
    <w:pPr>
      <w:ind w:hanging="360" w:left="720"/>
      <w:contextualSpacing/>
    </w:pPr>
  </w:style>
  <w:style w:styleId="List3" w:type="paragraph">
    <w:name w:val="List 3"/>
    <w:basedOn w:val="Normal"/>
    <w:uiPriority w:val="99"/>
    <w:unhideWhenUsed/>
    <w:rsid w:val="00326F90"/>
    <w:pPr>
      <w:ind w:hanging="360" w:left="1080"/>
      <w:contextualSpacing/>
    </w:pPr>
  </w:style>
  <w:style w:styleId="ListBullet" w:type="paragraph">
    <w:name w:val="List Bullet"/>
    <w:basedOn w:val="Normal"/>
    <w:uiPriority w:val="99"/>
    <w:unhideWhenUsed/>
    <w:rsid w:val="00326F90"/>
    <w:pPr>
      <w:numPr>
        <w:numId w:val="1"/>
      </w:numPr>
      <w:contextualSpacing/>
    </w:pPr>
  </w:style>
  <w:style w:styleId="ListBullet2" w:type="paragraph">
    <w:name w:val="List Bullet 2"/>
    <w:basedOn w:val="Normal"/>
    <w:uiPriority w:val="99"/>
    <w:unhideWhenUsed/>
    <w:rsid w:val="00326F90"/>
    <w:pPr>
      <w:numPr>
        <w:numId w:val="2"/>
      </w:numPr>
      <w:contextualSpacing/>
    </w:pPr>
  </w:style>
  <w:style w:styleId="ListBullet3" w:type="paragraph">
    <w:name w:val="List Bullet 3"/>
    <w:basedOn w:val="Normal"/>
    <w:uiPriority w:val="99"/>
    <w:unhideWhenUsed/>
    <w:rsid w:val="00326F90"/>
    <w:pPr>
      <w:numPr>
        <w:numId w:val="3"/>
      </w:numPr>
      <w:contextualSpacing/>
    </w:pPr>
  </w:style>
  <w:style w:styleId="ListNumber" w:type="paragraph">
    <w:name w:val="List Number"/>
    <w:basedOn w:val="Normal"/>
    <w:uiPriority w:val="99"/>
    <w:unhideWhenUsed/>
    <w:rsid w:val="00326F90"/>
    <w:pPr>
      <w:numPr>
        <w:numId w:val="5"/>
      </w:numPr>
      <w:contextualSpacing/>
    </w:pPr>
  </w:style>
  <w:style w:styleId="ListNumber2" w:type="paragraph">
    <w:name w:val="List Number 2"/>
    <w:basedOn w:val="Normal"/>
    <w:uiPriority w:val="99"/>
    <w:unhideWhenUsed/>
    <w:rsid w:val="0029639D"/>
    <w:pPr>
      <w:numPr>
        <w:numId w:val="6"/>
      </w:numPr>
      <w:contextualSpacing/>
    </w:pPr>
  </w:style>
  <w:style w:styleId="ListNumber3" w:type="paragraph">
    <w:name w:val="List Number 3"/>
    <w:basedOn w:val="Normal"/>
    <w:uiPriority w:val="99"/>
    <w:unhideWhenUsed/>
    <w:rsid w:val="0029639D"/>
    <w:pPr>
      <w:numPr>
        <w:numId w:val="7"/>
      </w:numPr>
      <w:contextualSpacing/>
    </w:pPr>
  </w:style>
  <w:style w:styleId="ListContinue" w:type="paragraph">
    <w:name w:val="List Continue"/>
    <w:basedOn w:val="Normal"/>
    <w:uiPriority w:val="99"/>
    <w:unhideWhenUsed/>
    <w:rsid w:val="0029639D"/>
    <w:pPr>
      <w:spacing w:after="120"/>
      <w:ind w:left="360"/>
      <w:contextualSpacing/>
    </w:pPr>
  </w:style>
  <w:style w:styleId="ListContinue2" w:type="paragraph">
    <w:name w:val="List Continue 2"/>
    <w:basedOn w:val="Normal"/>
    <w:uiPriority w:val="99"/>
    <w:unhideWhenUsed/>
    <w:rsid w:val="0029639D"/>
    <w:pPr>
      <w:spacing w:after="120"/>
      <w:ind w:left="720"/>
      <w:contextualSpacing/>
    </w:pPr>
  </w:style>
  <w:style w:styleId="ListContinue3" w:type="paragraph">
    <w:name w:val="List Continue 3"/>
    <w:basedOn w:val="Normal"/>
    <w:uiPriority w:val="99"/>
    <w:unhideWhenUsed/>
    <w:rsid w:val="0029639D"/>
    <w:pPr>
      <w:spacing w:after="120"/>
      <w:ind w:left="1080"/>
      <w:contextualSpacing/>
    </w:pPr>
  </w:style>
  <w:style w:styleId="MacroText" w:type="paragraph">
    <w:name w:val="macro"/>
    <w:link w:val="MacroTextChar"/>
    <w:uiPriority w:val="99"/>
    <w:unhideWhenUsed/>
    <w:rsid w:val="0029639D"/>
    <w:pPr>
      <w:tabs>
        <w:tab w:pos="576" w:val="left"/>
        <w:tab w:pos="1152" w:val="left"/>
        <w:tab w:pos="1728" w:val="left"/>
        <w:tab w:pos="2304" w:val="left"/>
        <w:tab w:pos="2880" w:val="left"/>
        <w:tab w:pos="3456" w:val="left"/>
        <w:tab w:pos="4032" w:val="left"/>
      </w:tabs>
    </w:pPr>
    <w:rPr>
      <w:rFonts w:ascii="Courier" w:hAnsi="Courier"/>
      <w:sz w:val="20"/>
      <w:szCs w:val="20"/>
    </w:rPr>
  </w:style>
  <w:style w:customStyle="1" w:styleId="MacroTextChar" w:type="character">
    <w:name w:val="Macro Text Char"/>
    <w:basedOn w:val="DefaultParagraphFont"/>
    <w:link w:val="MacroText"/>
    <w:uiPriority w:val="99"/>
    <w:rsid w:val="0029639D"/>
    <w:rPr>
      <w:rFonts w:ascii="Courier" w:hAnsi="Courier"/>
      <w:sz w:val="20"/>
      <w:szCs w:val="20"/>
    </w:rPr>
  </w:style>
  <w:style w:styleId="Quote" w:type="paragraph">
    <w:name w:val="Quote"/>
    <w:basedOn w:val="Normal"/>
    <w:next w:val="Normal"/>
    <w:link w:val="QuoteChar"/>
    <w:uiPriority w:val="29"/>
    <w:qFormat/>
    <w:rsid w:val="00FC693F"/>
    <w:rPr>
      <w:i/>
      <w:iCs/>
      <w:color w:themeColor="text1" w:val="000000"/>
    </w:rPr>
  </w:style>
  <w:style w:customStyle="1" w:styleId="QuoteChar" w:type="character">
    <w:name w:val="Quote Char"/>
    <w:basedOn w:val="DefaultParagraphFont"/>
    <w:link w:val="Quote"/>
    <w:uiPriority w:val="29"/>
    <w:rsid w:val="00FC693F"/>
    <w:rPr>
      <w:i/>
      <w:iCs/>
      <w:color w:themeColor="text1" w:val="000000"/>
    </w:rPr>
  </w:style>
  <w:style w:customStyle="1" w:styleId="Heading4Char" w:type="character">
    <w:name w:val="Heading 4 Char"/>
    <w:basedOn w:val="DefaultParagraphFont"/>
    <w:link w:val="Heading4"/>
    <w:uiPriority w:val="9"/>
    <w:semiHidden/>
    <w:rsid w:val="00FC693F"/>
    <w:rPr>
      <w:rFonts w:asciiTheme="majorHAnsi" w:cstheme="majorBidi" w:eastAsiaTheme="majorEastAsia" w:hAnsiTheme="majorHAnsi"/>
      <w:b/>
      <w:bCs/>
      <w:i/>
      <w:iCs/>
      <w:color w:themeColor="accent1" w:val="4F81BD"/>
    </w:rPr>
  </w:style>
  <w:style w:customStyle="1" w:styleId="Heading5Char" w:type="character">
    <w:name w:val="Heading 5 Char"/>
    <w:basedOn w:val="DefaultParagraphFont"/>
    <w:link w:val="Heading5"/>
    <w:uiPriority w:val="9"/>
    <w:semiHidden/>
    <w:rsid w:val="00FC693F"/>
    <w:rPr>
      <w:rFonts w:asciiTheme="majorHAnsi" w:cstheme="majorBidi" w:eastAsiaTheme="majorEastAsia" w:hAnsiTheme="majorHAnsi"/>
      <w:color w:themeColor="accent1" w:themeShade="7F" w:val="243F60"/>
    </w:rPr>
  </w:style>
  <w:style w:customStyle="1" w:styleId="Heading6Char" w:type="character">
    <w:name w:val="Heading 6 Char"/>
    <w:basedOn w:val="DefaultParagraphFont"/>
    <w:link w:val="Heading6"/>
    <w:uiPriority w:val="9"/>
    <w:semiHidden/>
    <w:rsid w:val="00FC693F"/>
    <w:rPr>
      <w:rFonts w:asciiTheme="majorHAnsi" w:cstheme="majorBidi" w:eastAsiaTheme="majorEastAsia" w:hAnsiTheme="majorHAnsi"/>
      <w:i/>
      <w:iCs/>
      <w:color w:themeColor="accent1" w:themeShade="7F" w:val="243F60"/>
    </w:rPr>
  </w:style>
  <w:style w:customStyle="1" w:styleId="Heading7Char" w:type="character">
    <w:name w:val="Heading 7 Char"/>
    <w:basedOn w:val="DefaultParagraphFont"/>
    <w:link w:val="Heading7"/>
    <w:uiPriority w:val="9"/>
    <w:semiHidden/>
    <w:rsid w:val="00FC693F"/>
    <w:rPr>
      <w:rFonts w:asciiTheme="majorHAnsi" w:cstheme="majorBidi" w:eastAsiaTheme="majorEastAsia" w:hAnsiTheme="majorHAnsi"/>
      <w:i/>
      <w:iCs/>
      <w:color w:themeColor="text1" w:themeTint="BF" w:val="404040"/>
    </w:rPr>
  </w:style>
  <w:style w:customStyle="1" w:styleId="Heading8Char" w:type="character">
    <w:name w:val="Heading 8 Char"/>
    <w:basedOn w:val="DefaultParagraphFont"/>
    <w:link w:val="Heading8"/>
    <w:uiPriority w:val="9"/>
    <w:semiHidden/>
    <w:rsid w:val="00FC693F"/>
    <w:rPr>
      <w:rFonts w:asciiTheme="majorHAnsi" w:cstheme="majorBidi" w:eastAsiaTheme="majorEastAsia" w:hAnsiTheme="majorHAnsi"/>
      <w:color w:themeColor="accent1" w:val="4F81BD"/>
      <w:sz w:val="20"/>
      <w:szCs w:val="20"/>
    </w:rPr>
  </w:style>
  <w:style w:customStyle="1" w:styleId="Heading9Char" w:type="character">
    <w:name w:val="Heading 9 Char"/>
    <w:basedOn w:val="DefaultParagraphFont"/>
    <w:link w:val="Heading9"/>
    <w:uiPriority w:val="9"/>
    <w:semiHidden/>
    <w:rsid w:val="00FC693F"/>
    <w:rPr>
      <w:rFonts w:asciiTheme="majorHAnsi" w:cstheme="majorBidi" w:eastAsiaTheme="majorEastAsia" w:hAnsiTheme="majorHAnsi"/>
      <w:i/>
      <w:iCs/>
      <w:color w:themeColor="text1" w:themeTint="BF" w:val="404040"/>
      <w:sz w:val="20"/>
      <w:szCs w:val="20"/>
    </w:rPr>
  </w:style>
  <w:style w:styleId="Caption" w:type="paragraph">
    <w:name w:val="caption"/>
    <w:basedOn w:val="Normal"/>
    <w:next w:val="Normal"/>
    <w:uiPriority w:val="35"/>
    <w:semiHidden/>
    <w:unhideWhenUsed/>
    <w:qFormat/>
    <w:rsid w:val="00FC693F"/>
    <w:pPr>
      <w:spacing w:line="240" w:lineRule="auto"/>
    </w:pPr>
    <w:rPr>
      <w:b/>
      <w:bCs/>
      <w:color w:themeColor="accent1" w:val="4F81BD"/>
      <w:sz w:val="18"/>
      <w:szCs w:val="18"/>
    </w:rPr>
  </w:style>
  <w:style w:styleId="Strong" w:type="character">
    <w:name w:val="Strong"/>
    <w:basedOn w:val="DefaultParagraphFont"/>
    <w:uiPriority w:val="22"/>
    <w:qFormat/>
    <w:rsid w:val="00FC693F"/>
    <w:rPr>
      <w:b/>
      <w:bCs/>
    </w:rPr>
  </w:style>
  <w:style w:styleId="Emphasis" w:type="character">
    <w:name w:val="Emphasis"/>
    <w:basedOn w:val="DefaultParagraphFont"/>
    <w:uiPriority w:val="20"/>
    <w:qFormat/>
    <w:rsid w:val="00FC693F"/>
    <w:rPr>
      <w:i/>
      <w:iCs/>
    </w:rPr>
  </w:style>
  <w:style w:styleId="IntenseQuote" w:type="paragraph">
    <w:name w:val="Intense Quote"/>
    <w:basedOn w:val="Normal"/>
    <w:next w:val="Normal"/>
    <w:link w:val="IntenseQuoteChar"/>
    <w:uiPriority w:val="30"/>
    <w:qFormat/>
    <w:rsid w:val="00FC693F"/>
    <w:pPr>
      <w:pBdr>
        <w:bottom w:color="4F81BD" w:space="4" w:sz="4" w:themeColor="accent1" w:val="single"/>
      </w:pBdr>
      <w:spacing w:after="280" w:before="200"/>
      <w:ind w:left="936" w:right="936"/>
    </w:pPr>
    <w:rPr>
      <w:b/>
      <w:bCs/>
      <w:i/>
      <w:iCs/>
      <w:color w:themeColor="accent1" w:val="4F81BD"/>
    </w:rPr>
  </w:style>
  <w:style w:customStyle="1" w:styleId="IntenseQuoteChar" w:type="character">
    <w:name w:val="Intense Quote Char"/>
    <w:basedOn w:val="DefaultParagraphFont"/>
    <w:link w:val="IntenseQuote"/>
    <w:uiPriority w:val="30"/>
    <w:rsid w:val="00FC693F"/>
    <w:rPr>
      <w:b/>
      <w:bCs/>
      <w:i/>
      <w:iCs/>
      <w:color w:themeColor="accent1" w:val="4F81BD"/>
    </w:rPr>
  </w:style>
  <w:style w:styleId="SubtleEmphasis" w:type="character">
    <w:name w:val="Subtle Emphasis"/>
    <w:basedOn w:val="DefaultParagraphFont"/>
    <w:uiPriority w:val="19"/>
    <w:qFormat/>
    <w:rsid w:val="00FC693F"/>
    <w:rPr>
      <w:i/>
      <w:iCs/>
      <w:color w:themeColor="text1" w:themeTint="7F" w:val="808080"/>
    </w:rPr>
  </w:style>
  <w:style w:styleId="IntenseEmphasis" w:type="character">
    <w:name w:val="Intense Emphasis"/>
    <w:basedOn w:val="DefaultParagraphFont"/>
    <w:uiPriority w:val="21"/>
    <w:qFormat/>
    <w:rsid w:val="00FC693F"/>
    <w:rPr>
      <w:b/>
      <w:bCs/>
      <w:i/>
      <w:iCs/>
      <w:color w:themeColor="accent1" w:val="4F81BD"/>
    </w:rPr>
  </w:style>
  <w:style w:styleId="SubtleReference" w:type="character">
    <w:name w:val="Subtle Reference"/>
    <w:basedOn w:val="DefaultParagraphFont"/>
    <w:uiPriority w:val="31"/>
    <w:qFormat/>
    <w:rsid w:val="00FC693F"/>
    <w:rPr>
      <w:smallCaps/>
      <w:color w:themeColor="accent2" w:val="C0504D"/>
      <w:u w:val="single"/>
    </w:rPr>
  </w:style>
  <w:style w:styleId="IntenseReference" w:type="character">
    <w:name w:val="Intense Reference"/>
    <w:basedOn w:val="DefaultParagraphFont"/>
    <w:uiPriority w:val="32"/>
    <w:qFormat/>
    <w:rsid w:val="00FC693F"/>
    <w:rPr>
      <w:b/>
      <w:bCs/>
      <w:smallCaps/>
      <w:color w:themeColor="accent2" w:val="C0504D"/>
      <w:spacing w:val="5"/>
      <w:u w:val="single"/>
    </w:rPr>
  </w:style>
  <w:style w:styleId="BookTitle" w:type="character">
    <w:name w:val="Book Title"/>
    <w:basedOn w:val="DefaultParagraphFont"/>
    <w:uiPriority w:val="33"/>
    <w:qFormat/>
    <w:rsid w:val="00FC693F"/>
    <w:rPr>
      <w:b/>
      <w:bCs/>
      <w:smallCaps/>
      <w:spacing w:val="5"/>
    </w:rPr>
  </w:style>
  <w:style w:styleId="TOCHeading" w:type="paragraph">
    <w:name w:val="TOC Heading"/>
    <w:basedOn w:val="Heading1"/>
    <w:next w:val="Normal"/>
    <w:uiPriority w:val="39"/>
    <w:semiHidden/>
    <w:unhideWhenUsed/>
    <w:qFormat/>
    <w:rsid w:val="00FC693F"/>
    <w:pPr>
      <w:outlineLvl w:val="9"/>
    </w:pPr>
  </w:style>
  <w:style w:styleId="TableGrid" w:type="table">
    <w:name w:val="Table Grid"/>
    <w:basedOn w:val="TableNormal"/>
    <w:uiPriority w:val="59"/>
    <w:rsid w:val="00FC693F"/>
    <w:pPr>
      <w:spacing w:after="0" w:line="240" w:lineRule="auto"/>
    </w:pPr>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LightShading" w:type="table">
    <w:name w:val="Light Shading"/>
    <w:basedOn w:val="TableNormal"/>
    <w:uiPriority w:val="60"/>
    <w:rsid w:val="00FC693F"/>
    <w:pPr>
      <w:spacing w:after="0" w:line="240" w:lineRule="auto"/>
    </w:pPr>
    <w:rPr>
      <w:color w:themeColor="text1" w:themeShade="BF" w:val="000000"/>
    </w:rPr>
    <w:tblPr>
      <w:tblStyleRowBandSize w:val="1"/>
      <w:tblStyleColBandSize w:val="1"/>
      <w:tblInd w:type="dxa" w:w="0"/>
      <w:tblBorders>
        <w:top w:color="000000" w:space="0" w:sz="8" w:themeColor="text1" w:val="single"/>
        <w:bottom w:color="000000" w:space="0" w:sz="8" w:themeColor="text1" w:val="single"/>
      </w:tblBorders>
      <w:tblCellMar>
        <w:top w:type="dxa" w:w="0"/>
        <w:left w:type="dxa" w:w="108"/>
        <w:bottom w:type="dxa" w:w="0"/>
        <w:right w:type="dxa" w:w="108"/>
      </w:tblCellMar>
    </w:tblPr>
    <w:tblStylePr w:type="firstRow">
      <w:pPr>
        <w:spacing w:after="0" w:before="0" w:line="240" w:lineRule="auto"/>
      </w:pPr>
      <w:rPr>
        <w:b/>
        <w:bCs/>
      </w:rPr>
      <w:tblPr/>
      <w:tcPr>
        <w:tcBorders>
          <w:top w:color="000000" w:space="0" w:sz="8" w:themeColor="text1" w:val="single"/>
          <w:left w:val="nil"/>
          <w:bottom w:color="000000" w:space="0" w:sz="8" w:themeColor="text1" w:val="single"/>
          <w:right w:val="nil"/>
          <w:insideH w:val="nil"/>
          <w:insideV w:val="nil"/>
        </w:tcBorders>
      </w:tcPr>
    </w:tblStylePr>
    <w:tblStylePr w:type="lastRow">
      <w:pPr>
        <w:spacing w:after="0" w:before="0" w:line="240" w:lineRule="auto"/>
      </w:pPr>
      <w:rPr>
        <w:b/>
        <w:bCs/>
      </w:rPr>
      <w:tblPr/>
      <w:tcPr>
        <w:tcBorders>
          <w:top w:color="000000" w:space="0" w:sz="8" w:themeColor="text1" w:val="single"/>
          <w:left w:val="nil"/>
          <w:bottom w:color="000000" w:space="0" w:sz="8" w:themeColor="text1"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C0C0C0" w:themeFill="text1" w:themeFillTint="3F" w:val="clear"/>
      </w:tcPr>
    </w:tblStylePr>
    <w:tblStylePr w:type="band1Horz">
      <w:tblPr/>
      <w:tcPr>
        <w:tcBorders>
          <w:left w:val="nil"/>
          <w:right w:val="nil"/>
          <w:insideH w:val="nil"/>
          <w:insideV w:val="nil"/>
        </w:tcBorders>
        <w:shd w:color="auto" w:fill="C0C0C0" w:themeFill="text1" w:themeFillTint="3F" w:val="clear"/>
      </w:tcPr>
    </w:tblStylePr>
  </w:style>
  <w:style w:styleId="LightShading-Accent1" w:type="table">
    <w:name w:val="Light Shading Accent 1"/>
    <w:basedOn w:val="TableNormal"/>
    <w:uiPriority w:val="60"/>
    <w:rsid w:val="00FC693F"/>
    <w:pPr>
      <w:spacing w:after="0" w:line="240" w:lineRule="auto"/>
    </w:pPr>
    <w:rPr>
      <w:color w:themeColor="accent1" w:themeShade="BF" w:val="365F91"/>
    </w:rPr>
    <w:tblPr>
      <w:tblStyleRowBandSize w:val="1"/>
      <w:tblStyleColBandSize w:val="1"/>
      <w:tblInd w:type="dxa" w:w="0"/>
      <w:tblBorders>
        <w:top w:color="4F81BD" w:space="0" w:sz="8" w:themeColor="accent1" w:val="single"/>
        <w:bottom w:color="4F81BD" w:space="0" w:sz="8" w:themeColor="accent1" w:val="single"/>
      </w:tblBorders>
      <w:tblCellMar>
        <w:top w:type="dxa" w:w="0"/>
        <w:left w:type="dxa" w:w="108"/>
        <w:bottom w:type="dxa" w:w="0"/>
        <w:right w:type="dxa" w:w="108"/>
      </w:tblCellMar>
    </w:tblPr>
    <w:tblStylePr w:type="firstRow">
      <w:pPr>
        <w:spacing w:after="0" w:before="0" w:line="240" w:lineRule="auto"/>
      </w:pPr>
      <w:rPr>
        <w:b/>
        <w:bCs/>
      </w:rPr>
      <w:tblPr/>
      <w:tcPr>
        <w:tcBorders>
          <w:top w:color="4F81BD" w:space="0" w:sz="8" w:themeColor="accent1" w:val="single"/>
          <w:left w:val="nil"/>
          <w:bottom w:color="4F81BD" w:space="0" w:sz="8" w:themeColor="accent1" w:val="single"/>
          <w:right w:val="nil"/>
          <w:insideH w:val="nil"/>
          <w:insideV w:val="nil"/>
        </w:tcBorders>
      </w:tcPr>
    </w:tblStylePr>
    <w:tblStylePr w:type="lastRow">
      <w:pPr>
        <w:spacing w:after="0" w:before="0" w:line="240" w:lineRule="auto"/>
      </w:pPr>
      <w:rPr>
        <w:b/>
        <w:bCs/>
      </w:rPr>
      <w:tblPr/>
      <w:tcPr>
        <w:tcBorders>
          <w:top w:color="4F81BD" w:space="0" w:sz="8" w:themeColor="accent1" w:val="single"/>
          <w:left w:val="nil"/>
          <w:bottom w:color="4F81BD" w:space="0" w:sz="8" w:themeColor="accent1"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D3DFEE" w:themeFill="accent1" w:themeFillTint="3F" w:val="clear"/>
      </w:tcPr>
    </w:tblStylePr>
    <w:tblStylePr w:type="band1Horz">
      <w:tblPr/>
      <w:tcPr>
        <w:tcBorders>
          <w:left w:val="nil"/>
          <w:right w:val="nil"/>
          <w:insideH w:val="nil"/>
          <w:insideV w:val="nil"/>
        </w:tcBorders>
        <w:shd w:color="auto" w:fill="D3DFEE" w:themeFill="accent1" w:themeFillTint="3F" w:val="clear"/>
      </w:tcPr>
    </w:tblStylePr>
  </w:style>
  <w:style w:styleId="LightShading-Accent2" w:type="table">
    <w:name w:val="Light Shading Accent 2"/>
    <w:basedOn w:val="TableNormal"/>
    <w:uiPriority w:val="60"/>
    <w:rsid w:val="00FC693F"/>
    <w:pPr>
      <w:spacing w:after="0" w:line="240" w:lineRule="auto"/>
    </w:pPr>
    <w:rPr>
      <w:color w:themeColor="accent2" w:themeShade="BF" w:val="943634"/>
    </w:rPr>
    <w:tblPr>
      <w:tblStyleRowBandSize w:val="1"/>
      <w:tblStyleColBandSize w:val="1"/>
      <w:tblInd w:type="dxa" w:w="0"/>
      <w:tblBorders>
        <w:top w:color="C0504D" w:space="0" w:sz="8" w:themeColor="accent2" w:val="single"/>
        <w:bottom w:color="C0504D" w:space="0" w:sz="8" w:themeColor="accent2" w:val="single"/>
      </w:tblBorders>
      <w:tblCellMar>
        <w:top w:type="dxa" w:w="0"/>
        <w:left w:type="dxa" w:w="108"/>
        <w:bottom w:type="dxa" w:w="0"/>
        <w:right w:type="dxa" w:w="108"/>
      </w:tblCellMar>
    </w:tblPr>
    <w:tblStylePr w:type="firstRow">
      <w:pPr>
        <w:spacing w:after="0" w:before="0" w:line="240" w:lineRule="auto"/>
      </w:pPr>
      <w:rPr>
        <w:b/>
        <w:bCs/>
      </w:rPr>
      <w:tblPr/>
      <w:tcPr>
        <w:tcBorders>
          <w:top w:color="C0504D" w:space="0" w:sz="8" w:themeColor="accent2" w:val="single"/>
          <w:left w:val="nil"/>
          <w:bottom w:color="C0504D" w:space="0" w:sz="8" w:themeColor="accent2" w:val="single"/>
          <w:right w:val="nil"/>
          <w:insideH w:val="nil"/>
          <w:insideV w:val="nil"/>
        </w:tcBorders>
      </w:tcPr>
    </w:tblStylePr>
    <w:tblStylePr w:type="lastRow">
      <w:pPr>
        <w:spacing w:after="0" w:before="0" w:line="240" w:lineRule="auto"/>
      </w:pPr>
      <w:rPr>
        <w:b/>
        <w:bCs/>
      </w:rPr>
      <w:tblPr/>
      <w:tcPr>
        <w:tcBorders>
          <w:top w:color="C0504D" w:space="0" w:sz="8" w:themeColor="accent2" w:val="single"/>
          <w:left w:val="nil"/>
          <w:bottom w:color="C0504D" w:space="0" w:sz="8" w:themeColor="accent2"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EFD3D2" w:themeFill="accent2" w:themeFillTint="3F" w:val="clear"/>
      </w:tcPr>
    </w:tblStylePr>
    <w:tblStylePr w:type="band1Horz">
      <w:tblPr/>
      <w:tcPr>
        <w:tcBorders>
          <w:left w:val="nil"/>
          <w:right w:val="nil"/>
          <w:insideH w:val="nil"/>
          <w:insideV w:val="nil"/>
        </w:tcBorders>
        <w:shd w:color="auto" w:fill="EFD3D2" w:themeFill="accent2" w:themeFillTint="3F" w:val="clear"/>
      </w:tcPr>
    </w:tblStylePr>
  </w:style>
  <w:style w:styleId="LightShading-Accent3" w:type="table">
    <w:name w:val="Light Shading Accent 3"/>
    <w:basedOn w:val="TableNormal"/>
    <w:uiPriority w:val="60"/>
    <w:rsid w:val="00FC693F"/>
    <w:pPr>
      <w:spacing w:after="0" w:line="240" w:lineRule="auto"/>
    </w:pPr>
    <w:rPr>
      <w:color w:themeColor="accent3" w:themeShade="BF" w:val="76923C"/>
    </w:rPr>
    <w:tblPr>
      <w:tblStyleRowBandSize w:val="1"/>
      <w:tblStyleColBandSize w:val="1"/>
      <w:tblInd w:type="dxa" w:w="0"/>
      <w:tblBorders>
        <w:top w:color="9BBB59" w:space="0" w:sz="8" w:themeColor="accent3" w:val="single"/>
        <w:bottom w:color="9BBB59" w:space="0" w:sz="8" w:themeColor="accent3" w:val="single"/>
      </w:tblBorders>
      <w:tblCellMar>
        <w:top w:type="dxa" w:w="0"/>
        <w:left w:type="dxa" w:w="108"/>
        <w:bottom w:type="dxa" w:w="0"/>
        <w:right w:type="dxa" w:w="108"/>
      </w:tblCellMar>
    </w:tblPr>
    <w:tblStylePr w:type="firstRow">
      <w:pPr>
        <w:spacing w:after="0" w:before="0" w:line="240" w:lineRule="auto"/>
      </w:pPr>
      <w:rPr>
        <w:b/>
        <w:bCs/>
      </w:rPr>
      <w:tblPr/>
      <w:tcPr>
        <w:tcBorders>
          <w:top w:color="9BBB59" w:space="0" w:sz="8" w:themeColor="accent3" w:val="single"/>
          <w:left w:val="nil"/>
          <w:bottom w:color="9BBB59" w:space="0" w:sz="8" w:themeColor="accent3" w:val="single"/>
          <w:right w:val="nil"/>
          <w:insideH w:val="nil"/>
          <w:insideV w:val="nil"/>
        </w:tcBorders>
      </w:tcPr>
    </w:tblStylePr>
    <w:tblStylePr w:type="lastRow">
      <w:pPr>
        <w:spacing w:after="0" w:before="0" w:line="240" w:lineRule="auto"/>
      </w:pPr>
      <w:rPr>
        <w:b/>
        <w:bCs/>
      </w:rPr>
      <w:tblPr/>
      <w:tcPr>
        <w:tcBorders>
          <w:top w:color="9BBB59" w:space="0" w:sz="8" w:themeColor="accent3" w:val="single"/>
          <w:left w:val="nil"/>
          <w:bottom w:color="9BBB59" w:space="0" w:sz="8" w:themeColor="accent3"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E6EED5" w:themeFill="accent3" w:themeFillTint="3F" w:val="clear"/>
      </w:tcPr>
    </w:tblStylePr>
    <w:tblStylePr w:type="band1Horz">
      <w:tblPr/>
      <w:tcPr>
        <w:tcBorders>
          <w:left w:val="nil"/>
          <w:right w:val="nil"/>
          <w:insideH w:val="nil"/>
          <w:insideV w:val="nil"/>
        </w:tcBorders>
        <w:shd w:color="auto" w:fill="E6EED5" w:themeFill="accent3" w:themeFillTint="3F" w:val="clear"/>
      </w:tcPr>
    </w:tblStylePr>
  </w:style>
  <w:style w:styleId="LightShading-Accent4" w:type="table">
    <w:name w:val="Light Shading Accent 4"/>
    <w:basedOn w:val="TableNormal"/>
    <w:uiPriority w:val="60"/>
    <w:rsid w:val="00FC693F"/>
    <w:pPr>
      <w:spacing w:after="0" w:line="240" w:lineRule="auto"/>
    </w:pPr>
    <w:rPr>
      <w:color w:themeColor="accent4" w:themeShade="BF" w:val="5F497A"/>
    </w:rPr>
    <w:tblPr>
      <w:tblStyleRowBandSize w:val="1"/>
      <w:tblStyleColBandSize w:val="1"/>
      <w:tblInd w:type="dxa" w:w="0"/>
      <w:tblBorders>
        <w:top w:color="8064A2" w:space="0" w:sz="8" w:themeColor="accent4" w:val="single"/>
        <w:bottom w:color="8064A2" w:space="0" w:sz="8" w:themeColor="accent4" w:val="single"/>
      </w:tblBorders>
      <w:tblCellMar>
        <w:top w:type="dxa" w:w="0"/>
        <w:left w:type="dxa" w:w="108"/>
        <w:bottom w:type="dxa" w:w="0"/>
        <w:right w:type="dxa" w:w="108"/>
      </w:tblCellMar>
    </w:tblPr>
    <w:tblStylePr w:type="firstRow">
      <w:pPr>
        <w:spacing w:after="0" w:before="0" w:line="240" w:lineRule="auto"/>
      </w:pPr>
      <w:rPr>
        <w:b/>
        <w:bCs/>
      </w:rPr>
      <w:tblPr/>
      <w:tcPr>
        <w:tcBorders>
          <w:top w:color="8064A2" w:space="0" w:sz="8" w:themeColor="accent4" w:val="single"/>
          <w:left w:val="nil"/>
          <w:bottom w:color="8064A2" w:space="0" w:sz="8" w:themeColor="accent4" w:val="single"/>
          <w:right w:val="nil"/>
          <w:insideH w:val="nil"/>
          <w:insideV w:val="nil"/>
        </w:tcBorders>
      </w:tcPr>
    </w:tblStylePr>
    <w:tblStylePr w:type="lastRow">
      <w:pPr>
        <w:spacing w:after="0" w:before="0" w:line="240" w:lineRule="auto"/>
      </w:pPr>
      <w:rPr>
        <w:b/>
        <w:bCs/>
      </w:rPr>
      <w:tblPr/>
      <w:tcPr>
        <w:tcBorders>
          <w:top w:color="8064A2" w:space="0" w:sz="8" w:themeColor="accent4" w:val="single"/>
          <w:left w:val="nil"/>
          <w:bottom w:color="8064A2" w:space="0" w:sz="8" w:themeColor="accent4"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DFD8E8" w:themeFill="accent4" w:themeFillTint="3F" w:val="clear"/>
      </w:tcPr>
    </w:tblStylePr>
    <w:tblStylePr w:type="band1Horz">
      <w:tblPr/>
      <w:tcPr>
        <w:tcBorders>
          <w:left w:val="nil"/>
          <w:right w:val="nil"/>
          <w:insideH w:val="nil"/>
          <w:insideV w:val="nil"/>
        </w:tcBorders>
        <w:shd w:color="auto" w:fill="DFD8E8" w:themeFill="accent4" w:themeFillTint="3F" w:val="clear"/>
      </w:tcPr>
    </w:tblStylePr>
  </w:style>
  <w:style w:styleId="LightShading-Accent5" w:type="table">
    <w:name w:val="Light Shading Accent 5"/>
    <w:basedOn w:val="TableNormal"/>
    <w:uiPriority w:val="60"/>
    <w:rsid w:val="00FC693F"/>
    <w:pPr>
      <w:spacing w:after="0" w:line="240" w:lineRule="auto"/>
    </w:pPr>
    <w:rPr>
      <w:color w:themeColor="accent5" w:themeShade="BF" w:val="31849B"/>
    </w:rPr>
    <w:tblPr>
      <w:tblStyleRowBandSize w:val="1"/>
      <w:tblStyleColBandSize w:val="1"/>
      <w:tblInd w:type="dxa" w:w="0"/>
      <w:tblBorders>
        <w:top w:color="4BACC6" w:space="0" w:sz="8" w:themeColor="accent5" w:val="single"/>
        <w:bottom w:color="4BACC6" w:space="0" w:sz="8" w:themeColor="accent5" w:val="single"/>
      </w:tblBorders>
      <w:tblCellMar>
        <w:top w:type="dxa" w:w="0"/>
        <w:left w:type="dxa" w:w="108"/>
        <w:bottom w:type="dxa" w:w="0"/>
        <w:right w:type="dxa" w:w="108"/>
      </w:tblCellMar>
    </w:tblPr>
    <w:tblStylePr w:type="firstRow">
      <w:pPr>
        <w:spacing w:after="0" w:before="0" w:line="240" w:lineRule="auto"/>
      </w:pPr>
      <w:rPr>
        <w:b/>
        <w:bCs/>
      </w:rPr>
      <w:tblPr/>
      <w:tcPr>
        <w:tcBorders>
          <w:top w:color="4BACC6" w:space="0" w:sz="8" w:themeColor="accent5" w:val="single"/>
          <w:left w:val="nil"/>
          <w:bottom w:color="4BACC6" w:space="0" w:sz="8" w:themeColor="accent5" w:val="single"/>
          <w:right w:val="nil"/>
          <w:insideH w:val="nil"/>
          <w:insideV w:val="nil"/>
        </w:tcBorders>
      </w:tcPr>
    </w:tblStylePr>
    <w:tblStylePr w:type="lastRow">
      <w:pPr>
        <w:spacing w:after="0" w:before="0" w:line="240" w:lineRule="auto"/>
      </w:pPr>
      <w:rPr>
        <w:b/>
        <w:bCs/>
      </w:rPr>
      <w:tblPr/>
      <w:tcPr>
        <w:tcBorders>
          <w:top w:color="4BACC6" w:space="0" w:sz="8" w:themeColor="accent5" w:val="single"/>
          <w:left w:val="nil"/>
          <w:bottom w:color="4BACC6" w:space="0" w:sz="8" w:themeColor="accent5"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D2EAF1" w:themeFill="accent5" w:themeFillTint="3F" w:val="clear"/>
      </w:tcPr>
    </w:tblStylePr>
    <w:tblStylePr w:type="band1Horz">
      <w:tblPr/>
      <w:tcPr>
        <w:tcBorders>
          <w:left w:val="nil"/>
          <w:right w:val="nil"/>
          <w:insideH w:val="nil"/>
          <w:insideV w:val="nil"/>
        </w:tcBorders>
        <w:shd w:color="auto" w:fill="D2EAF1" w:themeFill="accent5" w:themeFillTint="3F" w:val="clear"/>
      </w:tcPr>
    </w:tblStylePr>
  </w:style>
  <w:style w:styleId="LightShading-Accent6" w:type="table">
    <w:name w:val="Light Shading Accent 6"/>
    <w:basedOn w:val="TableNormal"/>
    <w:uiPriority w:val="60"/>
    <w:rsid w:val="00FC693F"/>
    <w:pPr>
      <w:spacing w:after="0" w:line="240" w:lineRule="auto"/>
    </w:pPr>
    <w:rPr>
      <w:color w:themeColor="accent6" w:themeShade="BF" w:val="E36C0A"/>
    </w:rPr>
    <w:tblPr>
      <w:tblStyleRowBandSize w:val="1"/>
      <w:tblStyleColBandSize w:val="1"/>
      <w:tblInd w:type="dxa" w:w="0"/>
      <w:tblBorders>
        <w:top w:color="F79646" w:space="0" w:sz="8" w:themeColor="accent6" w:val="single"/>
        <w:bottom w:color="F79646" w:space="0" w:sz="8" w:themeColor="accent6" w:val="single"/>
      </w:tblBorders>
      <w:tblCellMar>
        <w:top w:type="dxa" w:w="0"/>
        <w:left w:type="dxa" w:w="108"/>
        <w:bottom w:type="dxa" w:w="0"/>
        <w:right w:type="dxa" w:w="108"/>
      </w:tblCellMar>
    </w:tblPr>
    <w:tblStylePr w:type="firstRow">
      <w:pPr>
        <w:spacing w:after="0" w:before="0" w:line="240" w:lineRule="auto"/>
      </w:pPr>
      <w:rPr>
        <w:b/>
        <w:bCs/>
      </w:rPr>
      <w:tblPr/>
      <w:tcPr>
        <w:tcBorders>
          <w:top w:color="F79646" w:space="0" w:sz="8" w:themeColor="accent6" w:val="single"/>
          <w:left w:val="nil"/>
          <w:bottom w:color="F79646" w:space="0" w:sz="8" w:themeColor="accent6" w:val="single"/>
          <w:right w:val="nil"/>
          <w:insideH w:val="nil"/>
          <w:insideV w:val="nil"/>
        </w:tcBorders>
      </w:tcPr>
    </w:tblStylePr>
    <w:tblStylePr w:type="lastRow">
      <w:pPr>
        <w:spacing w:after="0" w:before="0" w:line="240" w:lineRule="auto"/>
      </w:pPr>
      <w:rPr>
        <w:b/>
        <w:bCs/>
      </w:rPr>
      <w:tblPr/>
      <w:tcPr>
        <w:tcBorders>
          <w:top w:color="F79646" w:space="0" w:sz="8" w:themeColor="accent6" w:val="single"/>
          <w:left w:val="nil"/>
          <w:bottom w:color="F79646" w:space="0" w:sz="8" w:themeColor="accent6"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FDE4D0" w:themeFill="accent6" w:themeFillTint="3F" w:val="clear"/>
      </w:tcPr>
    </w:tblStylePr>
    <w:tblStylePr w:type="band1Horz">
      <w:tblPr/>
      <w:tcPr>
        <w:tcBorders>
          <w:left w:val="nil"/>
          <w:right w:val="nil"/>
          <w:insideH w:val="nil"/>
          <w:insideV w:val="nil"/>
        </w:tcBorders>
        <w:shd w:color="auto" w:fill="FDE4D0" w:themeFill="accent6" w:themeFillTint="3F" w:val="clear"/>
      </w:tcPr>
    </w:tblStylePr>
  </w:style>
  <w:style w:styleId="LightList" w:type="table">
    <w:name w:val="Light List"/>
    <w:basedOn w:val="TableNormal"/>
    <w:uiPriority w:val="61"/>
    <w:rsid w:val="00FC693F"/>
    <w:pPr>
      <w:spacing w:after="0" w:line="240" w:lineRule="auto"/>
    </w:pPr>
    <w:tblPr>
      <w:tblStyleRowBandSize w:val="1"/>
      <w:tblStyleColBandSize w:val="1"/>
      <w:tblInd w:type="dxa" w:w="0"/>
      <w:tblBorders>
        <w:top w:color="000000" w:space="0" w:sz="8" w:themeColor="text1" w:val="single"/>
        <w:left w:color="000000" w:space="0" w:sz="8" w:themeColor="text1" w:val="single"/>
        <w:bottom w:color="000000" w:space="0" w:sz="8" w:themeColor="text1" w:val="single"/>
        <w:right w:color="000000" w:space="0" w:sz="8" w:themeColor="text1"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shd w:color="auto" w:fill="000000" w:themeFill="text1" w:val="clear"/>
      </w:tcPr>
    </w:tblStylePr>
    <w:tblStylePr w:type="lastRow">
      <w:pPr>
        <w:spacing w:after="0" w:before="0" w:line="240" w:lineRule="auto"/>
      </w:pPr>
      <w:rPr>
        <w:b/>
        <w:bCs/>
      </w:rPr>
      <w:tblPr/>
      <w:tcPr>
        <w:tcBorders>
          <w:top w:color="000000" w:space="0" w:sz="6" w:themeColor="text1" w:val="double"/>
          <w:left w:color="000000" w:space="0" w:sz="8" w:themeColor="text1" w:val="single"/>
          <w:bottom w:color="000000" w:space="0" w:sz="8" w:themeColor="text1" w:val="single"/>
          <w:right w:color="000000" w:space="0" w:sz="8" w:themeColor="text1" w:val="single"/>
        </w:tcBorders>
      </w:tcPr>
    </w:tblStylePr>
    <w:tblStylePr w:type="firstCol">
      <w:rPr>
        <w:b/>
        <w:bCs/>
      </w:rPr>
    </w:tblStylePr>
    <w:tblStylePr w:type="lastCol">
      <w:rPr>
        <w:b/>
        <w:bCs/>
      </w:r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style>
  <w:style w:styleId="LightList-Accent1" w:type="table">
    <w:name w:val="Light List Accent 1"/>
    <w:basedOn w:val="TableNormal"/>
    <w:uiPriority w:val="61"/>
    <w:rsid w:val="00FC693F"/>
    <w:pPr>
      <w:spacing w:after="0" w:line="240" w:lineRule="auto"/>
    </w:pPr>
    <w:tblPr>
      <w:tblStyleRowBandSize w:val="1"/>
      <w:tblStyleColBandSize w:val="1"/>
      <w:tblInd w:type="dxa" w:w="0"/>
      <w:tblBorders>
        <w:top w:color="4F81BD" w:space="0" w:sz="8" w:themeColor="accent1" w:val="single"/>
        <w:left w:color="4F81BD" w:space="0" w:sz="8" w:themeColor="accent1" w:val="single"/>
        <w:bottom w:color="4F81BD" w:space="0" w:sz="8" w:themeColor="accent1" w:val="single"/>
        <w:right w:color="4F81BD" w:space="0" w:sz="8" w:themeColor="accent1"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shd w:color="auto" w:fill="4F81BD" w:themeFill="accent1" w:val="clear"/>
      </w:tcPr>
    </w:tblStylePr>
    <w:tblStylePr w:type="lastRow">
      <w:pPr>
        <w:spacing w:after="0" w:before="0" w:line="240" w:lineRule="auto"/>
      </w:pPr>
      <w:rPr>
        <w:b/>
        <w:bCs/>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tcBorders>
      </w:tcPr>
    </w:tblStylePr>
    <w:tblStylePr w:type="firstCol">
      <w:rPr>
        <w:b/>
        <w:bCs/>
      </w:rPr>
    </w:tblStylePr>
    <w:tblStylePr w:type="lastCol">
      <w:rPr>
        <w:b/>
        <w:bCs/>
      </w:r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style>
  <w:style w:styleId="LightList-Accent2" w:type="table">
    <w:name w:val="Light List Accent 2"/>
    <w:basedOn w:val="TableNormal"/>
    <w:uiPriority w:val="61"/>
    <w:rsid w:val="00CB0664"/>
    <w:pPr>
      <w:spacing w:after="0" w:line="240" w:lineRule="auto"/>
    </w:pPr>
    <w:tblPr>
      <w:tblStyleRowBandSize w:val="1"/>
      <w:tblStyleColBandSize w:val="1"/>
      <w:tblInd w:type="dxa" w:w="0"/>
      <w:tblBorders>
        <w:top w:color="C0504D" w:space="0" w:sz="8" w:themeColor="accent2" w:val="single"/>
        <w:left w:color="C0504D" w:space="0" w:sz="8" w:themeColor="accent2" w:val="single"/>
        <w:bottom w:color="C0504D" w:space="0" w:sz="8" w:themeColor="accent2" w:val="single"/>
        <w:right w:color="C0504D" w:space="0" w:sz="8" w:themeColor="accent2"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shd w:color="auto" w:fill="C0504D" w:themeFill="accent2" w:val="clear"/>
      </w:tcPr>
    </w:tblStylePr>
    <w:tblStylePr w:type="lastRow">
      <w:pPr>
        <w:spacing w:after="0" w:before="0" w:line="240" w:lineRule="auto"/>
      </w:pPr>
      <w:rPr>
        <w:b/>
        <w:bCs/>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tcBorders>
      </w:tcPr>
    </w:tblStylePr>
    <w:tblStylePr w:type="firstCol">
      <w:rPr>
        <w:b/>
        <w:bCs/>
      </w:rPr>
    </w:tblStylePr>
    <w:tblStylePr w:type="lastCol">
      <w:rPr>
        <w:b/>
        <w:bCs/>
      </w:r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style>
  <w:style w:styleId="LightList-Accent3" w:type="table">
    <w:name w:val="Light List Accent 3"/>
    <w:basedOn w:val="TableNormal"/>
    <w:uiPriority w:val="61"/>
    <w:rsid w:val="00CB0664"/>
    <w:pPr>
      <w:spacing w:after="0" w:line="240" w:lineRule="auto"/>
    </w:pPr>
    <w:tblPr>
      <w:tblStyleRowBandSize w:val="1"/>
      <w:tblStyleColBandSize w:val="1"/>
      <w:tblInd w:type="dxa" w:w="0"/>
      <w:tblBorders>
        <w:top w:color="9BBB59" w:space="0" w:sz="8" w:themeColor="accent3" w:val="single"/>
        <w:left w:color="9BBB59" w:space="0" w:sz="8" w:themeColor="accent3" w:val="single"/>
        <w:bottom w:color="9BBB59" w:space="0" w:sz="8" w:themeColor="accent3" w:val="single"/>
        <w:right w:color="9BBB59" w:space="0" w:sz="8" w:themeColor="accent3"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shd w:color="auto" w:fill="9BBB59" w:themeFill="accent3" w:val="clear"/>
      </w:tcPr>
    </w:tblStylePr>
    <w:tblStylePr w:type="lastRow">
      <w:pPr>
        <w:spacing w:after="0" w:before="0" w:line="240" w:lineRule="auto"/>
      </w:pPr>
      <w:rPr>
        <w:b/>
        <w:bCs/>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tcBorders>
      </w:tcPr>
    </w:tblStylePr>
    <w:tblStylePr w:type="firstCol">
      <w:rPr>
        <w:b/>
        <w:bCs/>
      </w:rPr>
    </w:tblStylePr>
    <w:tblStylePr w:type="lastCol">
      <w:rPr>
        <w:b/>
        <w:bCs/>
      </w:r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style>
  <w:style w:styleId="LightList-Accent4" w:type="table">
    <w:name w:val="Light List Accent 4"/>
    <w:basedOn w:val="TableNormal"/>
    <w:uiPriority w:val="61"/>
    <w:rsid w:val="00CB0664"/>
    <w:pPr>
      <w:spacing w:after="0" w:line="240" w:lineRule="auto"/>
    </w:pPr>
    <w:tblPr>
      <w:tblStyleRowBandSize w:val="1"/>
      <w:tblStyleColBandSize w:val="1"/>
      <w:tblInd w:type="dxa" w:w="0"/>
      <w:tblBorders>
        <w:top w:color="8064A2" w:space="0" w:sz="8" w:themeColor="accent4" w:val="single"/>
        <w:left w:color="8064A2" w:space="0" w:sz="8" w:themeColor="accent4" w:val="single"/>
        <w:bottom w:color="8064A2" w:space="0" w:sz="8" w:themeColor="accent4" w:val="single"/>
        <w:right w:color="8064A2" w:space="0" w:sz="8" w:themeColor="accent4"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shd w:color="auto" w:fill="8064A2" w:themeFill="accent4" w:val="clear"/>
      </w:tcPr>
    </w:tblStylePr>
    <w:tblStylePr w:type="lastRow">
      <w:pPr>
        <w:spacing w:after="0" w:before="0" w:line="240" w:lineRule="auto"/>
      </w:pPr>
      <w:rPr>
        <w:b/>
        <w:bCs/>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tcBorders>
      </w:tcPr>
    </w:tblStylePr>
    <w:tblStylePr w:type="firstCol">
      <w:rPr>
        <w:b/>
        <w:bCs/>
      </w:rPr>
    </w:tblStylePr>
    <w:tblStylePr w:type="lastCol">
      <w:rPr>
        <w:b/>
        <w:bCs/>
      </w:r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style>
  <w:style w:styleId="LightList-Accent5" w:type="table">
    <w:name w:val="Light List Accent 5"/>
    <w:basedOn w:val="TableNormal"/>
    <w:uiPriority w:val="61"/>
    <w:rsid w:val="00CB0664"/>
    <w:pPr>
      <w:spacing w:after="0" w:line="240" w:lineRule="auto"/>
    </w:pPr>
    <w:tblPr>
      <w:tblStyleRowBandSize w:val="1"/>
      <w:tblStyleColBandSize w:val="1"/>
      <w:tblInd w:type="dxa" w:w="0"/>
      <w:tblBorders>
        <w:top w:color="4BACC6" w:space="0" w:sz="8" w:themeColor="accent5" w:val="single"/>
        <w:left w:color="4BACC6" w:space="0" w:sz="8" w:themeColor="accent5" w:val="single"/>
        <w:bottom w:color="4BACC6" w:space="0" w:sz="8" w:themeColor="accent5" w:val="single"/>
        <w:right w:color="4BACC6" w:space="0" w:sz="8" w:themeColor="accent5"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shd w:color="auto" w:fill="4BACC6" w:themeFill="accent5" w:val="clear"/>
      </w:tcPr>
    </w:tblStylePr>
    <w:tblStylePr w:type="lastRow">
      <w:pPr>
        <w:spacing w:after="0" w:before="0" w:line="240" w:lineRule="auto"/>
      </w:pPr>
      <w:rPr>
        <w:b/>
        <w:bCs/>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tcBorders>
      </w:tcPr>
    </w:tblStylePr>
    <w:tblStylePr w:type="firstCol">
      <w:rPr>
        <w:b/>
        <w:bCs/>
      </w:rPr>
    </w:tblStylePr>
    <w:tblStylePr w:type="lastCol">
      <w:rPr>
        <w:b/>
        <w:bCs/>
      </w:r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style>
  <w:style w:styleId="LightList-Accent6" w:type="table">
    <w:name w:val="Light List Accent 6"/>
    <w:basedOn w:val="TableNormal"/>
    <w:uiPriority w:val="61"/>
    <w:rsid w:val="00CB0664"/>
    <w:pPr>
      <w:spacing w:after="0" w:line="240" w:lineRule="auto"/>
    </w:pPr>
    <w:tblPr>
      <w:tblStyleRowBandSize w:val="1"/>
      <w:tblStyleColBandSize w:val="1"/>
      <w:tblInd w:type="dxa" w:w="0"/>
      <w:tblBorders>
        <w:top w:color="F79646" w:space="0" w:sz="8" w:themeColor="accent6" w:val="single"/>
        <w:left w:color="F79646" w:space="0" w:sz="8" w:themeColor="accent6" w:val="single"/>
        <w:bottom w:color="F79646" w:space="0" w:sz="8" w:themeColor="accent6" w:val="single"/>
        <w:right w:color="F79646" w:space="0" w:sz="8" w:themeColor="accent6"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shd w:color="auto" w:fill="F79646" w:themeFill="accent6" w:val="clear"/>
      </w:tcPr>
    </w:tblStylePr>
    <w:tblStylePr w:type="lastRow">
      <w:pPr>
        <w:spacing w:after="0" w:before="0" w:line="240" w:lineRule="auto"/>
      </w:pPr>
      <w:rPr>
        <w:b/>
        <w:bCs/>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tcBorders>
      </w:tcPr>
    </w:tblStylePr>
    <w:tblStylePr w:type="firstCol">
      <w:rPr>
        <w:b/>
        <w:bCs/>
      </w:rPr>
    </w:tblStylePr>
    <w:tblStylePr w:type="lastCol">
      <w:rPr>
        <w:b/>
        <w:bCs/>
      </w:r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style>
  <w:style w:styleId="LightGrid" w:type="table">
    <w:name w:val="Light Grid"/>
    <w:basedOn w:val="TableNormal"/>
    <w:uiPriority w:val="62"/>
    <w:rsid w:val="00CB0664"/>
    <w:pPr>
      <w:spacing w:after="0" w:line="240" w:lineRule="auto"/>
    </w:pPr>
    <w:tblPr>
      <w:tblStyleRowBandSize w:val="1"/>
      <w:tblStyleColBandSize w:val="1"/>
      <w:tblInd w:type="dxa" w:w="0"/>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CellMar>
        <w:top w:type="dxa" w:w="0"/>
        <w:left w:type="dxa" w:w="108"/>
        <w:bottom w:type="dxa" w:w="0"/>
        <w:right w:type="dxa" w:w="108"/>
      </w:tblCellMar>
    </w:tblPr>
    <w:tblStylePr w:type="firstRow">
      <w:pPr>
        <w:spacing w:after="0" w:before="0" w:line="240" w:lineRule="auto"/>
      </w:pPr>
      <w:rPr>
        <w:rFonts w:asciiTheme="majorHAnsi" w:cstheme="majorBidi" w:eastAsiaTheme="majorEastAsia" w:hAnsiTheme="majorHAnsi"/>
        <w:b/>
        <w:bCs/>
      </w:rPr>
      <w:tblPr/>
      <w:tcPr>
        <w:tcBorders>
          <w:top w:color="000000" w:space="0" w:sz="8" w:themeColor="text1" w:val="single"/>
          <w:left w:color="000000" w:space="0" w:sz="8" w:themeColor="text1" w:val="single"/>
          <w:bottom w:color="000000" w:space="0" w:sz="18" w:themeColor="text1" w:val="single"/>
          <w:right w:color="000000" w:space="0" w:sz="8" w:themeColor="text1" w:val="single"/>
          <w:insideH w:val="nil"/>
          <w:insideV w:color="000000" w:space="0" w:sz="8" w:themeColor="text1" w:val="single"/>
        </w:tcBorders>
      </w:tcPr>
    </w:tblStylePr>
    <w:tblStylePr w:type="lastRow">
      <w:pPr>
        <w:spacing w:after="0" w:before="0" w:line="240" w:lineRule="auto"/>
      </w:pPr>
      <w:rPr>
        <w:rFonts w:asciiTheme="majorHAnsi" w:cstheme="majorBidi" w:eastAsiaTheme="majorEastAsia" w:hAnsiTheme="majorHAnsi"/>
        <w:b/>
        <w:bCs/>
      </w:rPr>
      <w:tblPr/>
      <w:tcPr>
        <w:tcBorders>
          <w:top w:color="000000" w:space="0" w:sz="6" w:themeColor="text1" w:val="double"/>
          <w:left w:color="000000" w:space="0" w:sz="8" w:themeColor="text1" w:val="single"/>
          <w:bottom w:color="000000" w:space="0" w:sz="8" w:themeColor="text1" w:val="single"/>
          <w:right w:color="000000" w:space="0" w:sz="8" w:themeColor="text1" w:val="single"/>
          <w:insideH w:val="nil"/>
          <w:insideV w:color="000000" w:space="0" w:sz="8" w:themeColor="text1"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shd w:color="auto" w:fill="C0C0C0" w:themeFill="text1" w:themeFillTint="3F" w:val="clear"/>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shd w:color="auto" w:fill="C0C0C0" w:themeFill="text1" w:themeFillTint="3F" w:val="clear"/>
      </w:tcPr>
    </w:tblStylePr>
    <w:tblStylePr w:type="band2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tcPr>
    </w:tblStylePr>
  </w:style>
  <w:style w:styleId="LightGrid-Accent1" w:type="table">
    <w:name w:val="Light Grid Accent 1"/>
    <w:basedOn w:val="TableNormal"/>
    <w:uiPriority w:val="62"/>
    <w:rsid w:val="00CB0664"/>
    <w:pPr>
      <w:spacing w:after="0" w:line="240" w:lineRule="auto"/>
    </w:pPr>
    <w:tblPr>
      <w:tblStyleRowBandSize w:val="1"/>
      <w:tblStyleColBandSize w:val="1"/>
      <w:tblInd w:type="dxa" w:w="0"/>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CellMar>
        <w:top w:type="dxa" w:w="0"/>
        <w:left w:type="dxa" w:w="108"/>
        <w:bottom w:type="dxa" w:w="0"/>
        <w:right w:type="dxa" w:w="108"/>
      </w:tblCellMar>
    </w:tblPr>
    <w:tblStylePr w:type="firstRow">
      <w:pPr>
        <w:spacing w:after="0" w:before="0" w:line="240" w:lineRule="auto"/>
      </w:pPr>
      <w:rPr>
        <w:rFonts w:asciiTheme="majorHAnsi" w:cstheme="majorBidi" w:eastAsiaTheme="majorEastAsia" w:hAnsiTheme="majorHAnsi"/>
        <w:b/>
        <w:bCs/>
      </w:rPr>
      <w:tblPr/>
      <w:tcPr>
        <w:tcBorders>
          <w:top w:color="4F81BD" w:space="0" w:sz="8" w:themeColor="accent1" w:val="single"/>
          <w:left w:color="4F81BD" w:space="0" w:sz="8" w:themeColor="accent1" w:val="single"/>
          <w:bottom w:color="4F81BD" w:space="0" w:sz="18" w:themeColor="accent1" w:val="single"/>
          <w:right w:color="4F81BD" w:space="0" w:sz="8" w:themeColor="accent1" w:val="single"/>
          <w:insideH w:val="nil"/>
          <w:insideV w:color="4F81BD" w:space="0" w:sz="8" w:themeColor="accent1" w:val="single"/>
        </w:tcBorders>
      </w:tcPr>
    </w:tblStylePr>
    <w:tblStylePr w:type="lastRow">
      <w:pPr>
        <w:spacing w:after="0" w:before="0" w:line="240" w:lineRule="auto"/>
      </w:pPr>
      <w:rPr>
        <w:rFonts w:asciiTheme="majorHAnsi" w:cstheme="majorBidi" w:eastAsiaTheme="majorEastAsia" w:hAnsiTheme="majorHAnsi"/>
        <w:b/>
        <w:bCs/>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insideH w:val="nil"/>
          <w:insideV w:color="4F81BD" w:space="0" w:sz="8" w:themeColor="accent1"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shd w:color="auto" w:fill="D3DFEE" w:themeFill="accent1" w:themeFillTint="3F" w:val="clear"/>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shd w:color="auto" w:fill="D3DFEE" w:themeFill="accent1" w:themeFillTint="3F" w:val="clear"/>
      </w:tcPr>
    </w:tblStylePr>
    <w:tblStylePr w:type="band2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tcPr>
    </w:tblStylePr>
  </w:style>
  <w:style w:styleId="LightGrid-Accent2" w:type="table">
    <w:name w:val="Light Grid Accent 2"/>
    <w:basedOn w:val="TableNormal"/>
    <w:uiPriority w:val="62"/>
    <w:rsid w:val="00CB0664"/>
    <w:pPr>
      <w:spacing w:after="0" w:line="240" w:lineRule="auto"/>
    </w:pPr>
    <w:tblPr>
      <w:tblStyleRowBandSize w:val="1"/>
      <w:tblStyleColBandSize w:val="1"/>
      <w:tblInd w:type="dxa" w:w="0"/>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CellMar>
        <w:top w:type="dxa" w:w="0"/>
        <w:left w:type="dxa" w:w="108"/>
        <w:bottom w:type="dxa" w:w="0"/>
        <w:right w:type="dxa" w:w="108"/>
      </w:tblCellMar>
    </w:tblPr>
    <w:tblStylePr w:type="firstRow">
      <w:pPr>
        <w:spacing w:after="0" w:before="0" w:line="240" w:lineRule="auto"/>
      </w:pPr>
      <w:rPr>
        <w:rFonts w:asciiTheme="majorHAnsi" w:cstheme="majorBidi" w:eastAsiaTheme="majorEastAsia" w:hAnsiTheme="majorHAnsi"/>
        <w:b/>
        <w:bCs/>
      </w:rPr>
      <w:tblPr/>
      <w:tcPr>
        <w:tcBorders>
          <w:top w:color="C0504D" w:space="0" w:sz="8" w:themeColor="accent2" w:val="single"/>
          <w:left w:color="C0504D" w:space="0" w:sz="8" w:themeColor="accent2" w:val="single"/>
          <w:bottom w:color="C0504D" w:space="0" w:sz="18" w:themeColor="accent2" w:val="single"/>
          <w:right w:color="C0504D" w:space="0" w:sz="8" w:themeColor="accent2" w:val="single"/>
          <w:insideH w:val="nil"/>
          <w:insideV w:color="C0504D" w:space="0" w:sz="8" w:themeColor="accent2" w:val="single"/>
        </w:tcBorders>
      </w:tcPr>
    </w:tblStylePr>
    <w:tblStylePr w:type="lastRow">
      <w:pPr>
        <w:spacing w:after="0" w:before="0" w:line="240" w:lineRule="auto"/>
      </w:pPr>
      <w:rPr>
        <w:rFonts w:asciiTheme="majorHAnsi" w:cstheme="majorBidi" w:eastAsiaTheme="majorEastAsia" w:hAnsiTheme="majorHAnsi"/>
        <w:b/>
        <w:bCs/>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insideH w:val="nil"/>
          <w:insideV w:color="C0504D" w:space="0" w:sz="8" w:themeColor="accent2"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shd w:color="auto" w:fill="EFD3D2" w:themeFill="accent2" w:themeFillTint="3F" w:val="clear"/>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shd w:color="auto" w:fill="EFD3D2" w:themeFill="accent2" w:themeFillTint="3F" w:val="clear"/>
      </w:tcPr>
    </w:tblStylePr>
    <w:tblStylePr w:type="band2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tcPr>
    </w:tblStylePr>
  </w:style>
  <w:style w:styleId="LightGrid-Accent3" w:type="table">
    <w:name w:val="Light Grid Accent 3"/>
    <w:basedOn w:val="TableNormal"/>
    <w:uiPriority w:val="62"/>
    <w:rsid w:val="00CB0664"/>
    <w:pPr>
      <w:spacing w:after="0" w:line="240" w:lineRule="auto"/>
    </w:pPr>
    <w:tblPr>
      <w:tblStyleRowBandSize w:val="1"/>
      <w:tblStyleColBandSize w:val="1"/>
      <w:tblInd w:type="dxa" w:w="0"/>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CellMar>
        <w:top w:type="dxa" w:w="0"/>
        <w:left w:type="dxa" w:w="108"/>
        <w:bottom w:type="dxa" w:w="0"/>
        <w:right w:type="dxa" w:w="108"/>
      </w:tblCellMar>
    </w:tblPr>
    <w:tblStylePr w:type="firstRow">
      <w:pPr>
        <w:spacing w:after="0" w:before="0" w:line="240" w:lineRule="auto"/>
      </w:pPr>
      <w:rPr>
        <w:rFonts w:asciiTheme="majorHAnsi" w:cstheme="majorBidi" w:eastAsiaTheme="majorEastAsia" w:hAnsiTheme="majorHAnsi"/>
        <w:b/>
        <w:bCs/>
      </w:rPr>
      <w:tblPr/>
      <w:tcPr>
        <w:tcBorders>
          <w:top w:color="9BBB59" w:space="0" w:sz="8" w:themeColor="accent3" w:val="single"/>
          <w:left w:color="9BBB59" w:space="0" w:sz="8" w:themeColor="accent3" w:val="single"/>
          <w:bottom w:color="9BBB59" w:space="0" w:sz="18" w:themeColor="accent3" w:val="single"/>
          <w:right w:color="9BBB59" w:space="0" w:sz="8" w:themeColor="accent3" w:val="single"/>
          <w:insideH w:val="nil"/>
          <w:insideV w:color="9BBB59" w:space="0" w:sz="8" w:themeColor="accent3" w:val="single"/>
        </w:tcBorders>
      </w:tcPr>
    </w:tblStylePr>
    <w:tblStylePr w:type="lastRow">
      <w:pPr>
        <w:spacing w:after="0" w:before="0" w:line="240" w:lineRule="auto"/>
      </w:pPr>
      <w:rPr>
        <w:rFonts w:asciiTheme="majorHAnsi" w:cstheme="majorBidi" w:eastAsiaTheme="majorEastAsia" w:hAnsiTheme="majorHAnsi"/>
        <w:b/>
        <w:bCs/>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insideH w:val="nil"/>
          <w:insideV w:color="9BBB59" w:space="0" w:sz="8" w:themeColor="accent3"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shd w:color="auto" w:fill="E6EED5" w:themeFill="accent3" w:themeFillTint="3F" w:val="clear"/>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shd w:color="auto" w:fill="E6EED5" w:themeFill="accent3" w:themeFillTint="3F" w:val="clear"/>
      </w:tcPr>
    </w:tblStylePr>
    <w:tblStylePr w:type="band2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tcPr>
    </w:tblStylePr>
  </w:style>
  <w:style w:styleId="LightGrid-Accent4" w:type="table">
    <w:name w:val="Light Grid Accent 4"/>
    <w:basedOn w:val="TableNormal"/>
    <w:uiPriority w:val="62"/>
    <w:rsid w:val="00CB0664"/>
    <w:pPr>
      <w:spacing w:after="0" w:line="240" w:lineRule="auto"/>
    </w:pPr>
    <w:tblPr>
      <w:tblStyleRowBandSize w:val="1"/>
      <w:tblStyleColBandSize w:val="1"/>
      <w:tblInd w:type="dxa" w:w="0"/>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CellMar>
        <w:top w:type="dxa" w:w="0"/>
        <w:left w:type="dxa" w:w="108"/>
        <w:bottom w:type="dxa" w:w="0"/>
        <w:right w:type="dxa" w:w="108"/>
      </w:tblCellMar>
    </w:tblPr>
    <w:tblStylePr w:type="firstRow">
      <w:pPr>
        <w:spacing w:after="0" w:before="0" w:line="240" w:lineRule="auto"/>
      </w:pPr>
      <w:rPr>
        <w:rFonts w:asciiTheme="majorHAnsi" w:cstheme="majorBidi" w:eastAsiaTheme="majorEastAsia" w:hAnsiTheme="majorHAnsi"/>
        <w:b/>
        <w:bCs/>
      </w:rPr>
      <w:tblPr/>
      <w:tcPr>
        <w:tcBorders>
          <w:top w:color="8064A2" w:space="0" w:sz="8" w:themeColor="accent4" w:val="single"/>
          <w:left w:color="8064A2" w:space="0" w:sz="8" w:themeColor="accent4" w:val="single"/>
          <w:bottom w:color="8064A2" w:space="0" w:sz="18" w:themeColor="accent4" w:val="single"/>
          <w:right w:color="8064A2" w:space="0" w:sz="8" w:themeColor="accent4" w:val="single"/>
          <w:insideH w:val="nil"/>
          <w:insideV w:color="8064A2" w:space="0" w:sz="8" w:themeColor="accent4" w:val="single"/>
        </w:tcBorders>
      </w:tcPr>
    </w:tblStylePr>
    <w:tblStylePr w:type="lastRow">
      <w:pPr>
        <w:spacing w:after="0" w:before="0" w:line="240" w:lineRule="auto"/>
      </w:pPr>
      <w:rPr>
        <w:rFonts w:asciiTheme="majorHAnsi" w:cstheme="majorBidi" w:eastAsiaTheme="majorEastAsia" w:hAnsiTheme="majorHAnsi"/>
        <w:b/>
        <w:bCs/>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insideH w:val="nil"/>
          <w:insideV w:color="8064A2" w:space="0" w:sz="8" w:themeColor="accent4"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shd w:color="auto" w:fill="DFD8E8" w:themeFill="accent4" w:themeFillTint="3F" w:val="clear"/>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shd w:color="auto" w:fill="DFD8E8" w:themeFill="accent4" w:themeFillTint="3F" w:val="clear"/>
      </w:tcPr>
    </w:tblStylePr>
    <w:tblStylePr w:type="band2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tcPr>
    </w:tblStylePr>
  </w:style>
  <w:style w:styleId="LightGrid-Accent5" w:type="table">
    <w:name w:val="Light Grid Accent 5"/>
    <w:basedOn w:val="TableNormal"/>
    <w:uiPriority w:val="62"/>
    <w:rsid w:val="00CB0664"/>
    <w:pPr>
      <w:spacing w:after="0" w:line="240" w:lineRule="auto"/>
    </w:pPr>
    <w:tblPr>
      <w:tblStyleRowBandSize w:val="1"/>
      <w:tblStyleColBandSize w:val="1"/>
      <w:tblInd w:type="dxa" w:w="0"/>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CellMar>
        <w:top w:type="dxa" w:w="0"/>
        <w:left w:type="dxa" w:w="108"/>
        <w:bottom w:type="dxa" w:w="0"/>
        <w:right w:type="dxa" w:w="108"/>
      </w:tblCellMar>
    </w:tblPr>
    <w:tblStylePr w:type="firstRow">
      <w:pPr>
        <w:spacing w:after="0" w:before="0" w:line="240" w:lineRule="auto"/>
      </w:pPr>
      <w:rPr>
        <w:rFonts w:asciiTheme="majorHAnsi" w:cstheme="majorBidi" w:eastAsiaTheme="majorEastAsia" w:hAnsiTheme="majorHAnsi"/>
        <w:b/>
        <w:bCs/>
      </w:rPr>
      <w:tblPr/>
      <w:tcPr>
        <w:tcBorders>
          <w:top w:color="4BACC6" w:space="0" w:sz="8" w:themeColor="accent5" w:val="single"/>
          <w:left w:color="4BACC6" w:space="0" w:sz="8" w:themeColor="accent5" w:val="single"/>
          <w:bottom w:color="4BACC6" w:space="0" w:sz="18" w:themeColor="accent5" w:val="single"/>
          <w:right w:color="4BACC6" w:space="0" w:sz="8" w:themeColor="accent5" w:val="single"/>
          <w:insideH w:val="nil"/>
          <w:insideV w:color="4BACC6" w:space="0" w:sz="8" w:themeColor="accent5" w:val="single"/>
        </w:tcBorders>
      </w:tcPr>
    </w:tblStylePr>
    <w:tblStylePr w:type="lastRow">
      <w:pPr>
        <w:spacing w:after="0" w:before="0" w:line="240" w:lineRule="auto"/>
      </w:pPr>
      <w:rPr>
        <w:rFonts w:asciiTheme="majorHAnsi" w:cstheme="majorBidi" w:eastAsiaTheme="majorEastAsia" w:hAnsiTheme="majorHAnsi"/>
        <w:b/>
        <w:bCs/>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insideH w:val="nil"/>
          <w:insideV w:color="4BACC6" w:space="0" w:sz="8" w:themeColor="accent5"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shd w:color="auto" w:fill="D2EAF1" w:themeFill="accent5" w:themeFillTint="3F" w:val="clear"/>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shd w:color="auto" w:fill="D2EAF1" w:themeFill="accent5" w:themeFillTint="3F" w:val="clear"/>
      </w:tcPr>
    </w:tblStylePr>
    <w:tblStylePr w:type="band2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tcPr>
    </w:tblStylePr>
  </w:style>
  <w:style w:styleId="LightGrid-Accent6" w:type="table">
    <w:name w:val="Light Grid Accent 6"/>
    <w:basedOn w:val="TableNormal"/>
    <w:uiPriority w:val="62"/>
    <w:rsid w:val="00CB0664"/>
    <w:pPr>
      <w:spacing w:after="0" w:line="240" w:lineRule="auto"/>
    </w:pPr>
    <w:tblPr>
      <w:tblStyleRowBandSize w:val="1"/>
      <w:tblStyleColBandSize w:val="1"/>
      <w:tblInd w:type="dxa" w:w="0"/>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CellMar>
        <w:top w:type="dxa" w:w="0"/>
        <w:left w:type="dxa" w:w="108"/>
        <w:bottom w:type="dxa" w:w="0"/>
        <w:right w:type="dxa" w:w="108"/>
      </w:tblCellMar>
    </w:tblPr>
    <w:tblStylePr w:type="firstRow">
      <w:pPr>
        <w:spacing w:after="0" w:before="0" w:line="240" w:lineRule="auto"/>
      </w:pPr>
      <w:rPr>
        <w:rFonts w:asciiTheme="majorHAnsi" w:cstheme="majorBidi" w:eastAsiaTheme="majorEastAsia" w:hAnsiTheme="majorHAnsi"/>
        <w:b/>
        <w:bCs/>
      </w:rPr>
      <w:tblPr/>
      <w:tcPr>
        <w:tcBorders>
          <w:top w:color="F79646" w:space="0" w:sz="8" w:themeColor="accent6" w:val="single"/>
          <w:left w:color="F79646" w:space="0" w:sz="8" w:themeColor="accent6" w:val="single"/>
          <w:bottom w:color="F79646" w:space="0" w:sz="18" w:themeColor="accent6" w:val="single"/>
          <w:right w:color="F79646" w:space="0" w:sz="8" w:themeColor="accent6" w:val="single"/>
          <w:insideH w:val="nil"/>
          <w:insideV w:color="F79646" w:space="0" w:sz="8" w:themeColor="accent6" w:val="single"/>
        </w:tcBorders>
      </w:tcPr>
    </w:tblStylePr>
    <w:tblStylePr w:type="lastRow">
      <w:pPr>
        <w:spacing w:after="0" w:before="0" w:line="240" w:lineRule="auto"/>
      </w:pPr>
      <w:rPr>
        <w:rFonts w:asciiTheme="majorHAnsi" w:cstheme="majorBidi" w:eastAsiaTheme="majorEastAsia" w:hAnsiTheme="majorHAnsi"/>
        <w:b/>
        <w:bCs/>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insideH w:val="nil"/>
          <w:insideV w:color="F79646" w:space="0" w:sz="8" w:themeColor="accent6"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shd w:color="auto" w:fill="FDE4D0" w:themeFill="accent6" w:themeFillTint="3F" w:val="clear"/>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shd w:color="auto" w:fill="FDE4D0" w:themeFill="accent6" w:themeFillTint="3F" w:val="clear"/>
      </w:tcPr>
    </w:tblStylePr>
    <w:tblStylePr w:type="band2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tcPr>
    </w:tblStylePr>
  </w:style>
  <w:style w:styleId="MediumShading1" w:type="table">
    <w:name w:val="Medium Shading 1"/>
    <w:basedOn w:val="TableNormal"/>
    <w:uiPriority w:val="63"/>
    <w:rsid w:val="00CB0664"/>
    <w:pPr>
      <w:spacing w:after="0" w:line="240" w:lineRule="auto"/>
    </w:pPr>
    <w:tblPr>
      <w:tblStyleRowBandSize w:val="1"/>
      <w:tblStyleColBandSize w:val="1"/>
      <w:tblInd w:type="dxa" w:w="0"/>
      <w:tblBorders>
        <w:top w:color="404040" w:space="0" w:sz="8" w:themeColor="text1" w:themeTint="BF" w:val="single"/>
        <w:left w:color="404040" w:space="0" w:sz="8" w:themeColor="text1" w:themeTint="BF" w:val="single"/>
        <w:bottom w:color="404040" w:space="0" w:sz="8" w:themeColor="text1" w:themeTint="BF" w:val="single"/>
        <w:right w:color="404040" w:space="0" w:sz="8" w:themeColor="text1" w:themeTint="BF" w:val="single"/>
        <w:insideH w:color="404040" w:space="0" w:sz="8" w:themeColor="text1" w:themeTint="BF"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404040" w:space="0" w:sz="8" w:themeColor="text1" w:themeTint="BF" w:val="single"/>
          <w:left w:color="404040" w:space="0" w:sz="8" w:themeColor="text1" w:themeTint="BF" w:val="single"/>
          <w:bottom w:color="404040" w:space="0" w:sz="8" w:themeColor="text1" w:themeTint="BF" w:val="single"/>
          <w:right w:color="404040" w:space="0" w:sz="8" w:themeColor="text1" w:themeTint="BF" w:val="single"/>
          <w:insideH w:val="nil"/>
          <w:insideV w:val="nil"/>
        </w:tcBorders>
        <w:shd w:color="auto" w:fill="000000" w:themeFill="text1" w:val="clear"/>
      </w:tcPr>
    </w:tblStylePr>
    <w:tblStylePr w:type="lastRow">
      <w:pPr>
        <w:spacing w:after="0" w:before="0" w:line="240" w:lineRule="auto"/>
      </w:pPr>
      <w:rPr>
        <w:b/>
        <w:bCs/>
      </w:rPr>
      <w:tblPr/>
      <w:tcPr>
        <w:tcBorders>
          <w:top w:color="404040" w:space="0" w:sz="6" w:themeColor="text1" w:themeTint="BF" w:val="double"/>
          <w:left w:color="404040" w:space="0" w:sz="8" w:themeColor="text1" w:themeTint="BF" w:val="single"/>
          <w:bottom w:color="404040" w:space="0" w:sz="8" w:themeColor="text1" w:themeTint="BF" w:val="single"/>
          <w:right w:color="404040" w:space="0" w:sz="8" w:themeColor="text1" w:themeTint="BF" w:val="single"/>
          <w:insideH w:val="nil"/>
          <w:insideV w:val="nil"/>
        </w:tcBorders>
      </w:tcPr>
    </w:tblStylePr>
    <w:tblStylePr w:type="firstCol">
      <w:rPr>
        <w:b/>
        <w:bCs/>
      </w:rPr>
    </w:tblStylePr>
    <w:tblStylePr w:type="lastCol">
      <w:rPr>
        <w:b/>
        <w:bCs/>
      </w:rPr>
    </w:tblStylePr>
    <w:tblStylePr w:type="band1Vert">
      <w:tblPr/>
      <w:tcPr>
        <w:shd w:color="auto" w:fill="C0C0C0" w:themeFill="text1" w:themeFillTint="3F" w:val="clear"/>
      </w:tcPr>
    </w:tblStylePr>
    <w:tblStylePr w:type="band1Horz">
      <w:tblPr/>
      <w:tcPr>
        <w:tcBorders>
          <w:insideH w:val="nil"/>
          <w:insideV w:val="nil"/>
        </w:tcBorders>
        <w:shd w:color="auto" w:fill="C0C0C0" w:themeFill="text1" w:themeFillTint="3F" w:val="clear"/>
      </w:tcPr>
    </w:tblStylePr>
    <w:tblStylePr w:type="band2Horz">
      <w:tblPr/>
      <w:tcPr>
        <w:tcBorders>
          <w:insideH w:val="nil"/>
          <w:insideV w:val="nil"/>
        </w:tcBorders>
      </w:tcPr>
    </w:tblStylePr>
  </w:style>
  <w:style w:styleId="MediumShading1-Accent1" w:type="table">
    <w:name w:val="Medium Shading 1 Accent 1"/>
    <w:basedOn w:val="TableNormal"/>
    <w:uiPriority w:val="63"/>
    <w:rsid w:val="00CB0664"/>
    <w:pPr>
      <w:spacing w:after="0" w:line="240" w:lineRule="auto"/>
    </w:pPr>
    <w:tblPr>
      <w:tblStyleRowBandSize w:val="1"/>
      <w:tblStyleColBandSize w:val="1"/>
      <w:tblInd w:type="dxa" w:w="0"/>
      <w:tblBorders>
        <w:top w:color="7BA0CD" w:space="0" w:sz="8" w:themeColor="accent1" w:themeTint="BF" w:val="single"/>
        <w:left w:color="7BA0CD" w:space="0" w:sz="8" w:themeColor="accent1" w:themeTint="BF" w:val="single"/>
        <w:bottom w:color="7BA0CD" w:space="0" w:sz="8" w:themeColor="accent1" w:themeTint="BF" w:val="single"/>
        <w:right w:color="7BA0CD" w:space="0" w:sz="8" w:themeColor="accent1" w:themeTint="BF" w:val="single"/>
        <w:insideH w:color="7BA0CD" w:space="0" w:sz="8" w:themeColor="accent1" w:themeTint="BF"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7BA0CD" w:space="0" w:sz="8" w:themeColor="accent1" w:themeTint="BF" w:val="single"/>
          <w:left w:color="7BA0CD" w:space="0" w:sz="8" w:themeColor="accent1" w:themeTint="BF" w:val="single"/>
          <w:bottom w:color="7BA0CD" w:space="0" w:sz="8" w:themeColor="accent1" w:themeTint="BF" w:val="single"/>
          <w:right w:color="7BA0CD" w:space="0" w:sz="8" w:themeColor="accent1" w:themeTint="BF" w:val="single"/>
          <w:insideH w:val="nil"/>
          <w:insideV w:val="nil"/>
        </w:tcBorders>
        <w:shd w:color="auto" w:fill="4F81BD" w:themeFill="accent1" w:val="clear"/>
      </w:tcPr>
    </w:tblStylePr>
    <w:tblStylePr w:type="lastRow">
      <w:pPr>
        <w:spacing w:after="0" w:before="0" w:line="240" w:lineRule="auto"/>
      </w:pPr>
      <w:rPr>
        <w:b/>
        <w:bCs/>
      </w:rPr>
      <w:tblPr/>
      <w:tcPr>
        <w:tcBorders>
          <w:top w:color="7BA0CD" w:space="0" w:sz="6" w:themeColor="accent1" w:themeTint="BF" w:val="double"/>
          <w:left w:color="7BA0CD" w:space="0" w:sz="8" w:themeColor="accent1" w:themeTint="BF" w:val="single"/>
          <w:bottom w:color="7BA0CD" w:space="0" w:sz="8" w:themeColor="accent1" w:themeTint="BF" w:val="single"/>
          <w:right w:color="7BA0CD" w:space="0" w:sz="8" w:themeColor="accent1" w:themeTint="BF" w:val="single"/>
          <w:insideH w:val="nil"/>
          <w:insideV w:val="nil"/>
        </w:tcBorders>
      </w:tcPr>
    </w:tblStylePr>
    <w:tblStylePr w:type="firstCol">
      <w:rPr>
        <w:b/>
        <w:bCs/>
      </w:rPr>
    </w:tblStylePr>
    <w:tblStylePr w:type="lastCol">
      <w:rPr>
        <w:b/>
        <w:bCs/>
      </w:rPr>
    </w:tblStylePr>
    <w:tblStylePr w:type="band1Vert">
      <w:tblPr/>
      <w:tcPr>
        <w:shd w:color="auto" w:fill="D3DFEE" w:themeFill="accent1" w:themeFillTint="3F" w:val="clear"/>
      </w:tcPr>
    </w:tblStylePr>
    <w:tblStylePr w:type="band1Horz">
      <w:tblPr/>
      <w:tcPr>
        <w:tcBorders>
          <w:insideH w:val="nil"/>
          <w:insideV w:val="nil"/>
        </w:tcBorders>
        <w:shd w:color="auto" w:fill="D3DFEE" w:themeFill="accent1" w:themeFillTint="3F" w:val="clear"/>
      </w:tcPr>
    </w:tblStylePr>
    <w:tblStylePr w:type="band2Horz">
      <w:tblPr/>
      <w:tcPr>
        <w:tcBorders>
          <w:insideH w:val="nil"/>
          <w:insideV w:val="nil"/>
        </w:tcBorders>
      </w:tcPr>
    </w:tblStylePr>
  </w:style>
  <w:style w:styleId="MediumShading1-Accent2" w:type="table">
    <w:name w:val="Medium Shading 1 Accent 2"/>
    <w:basedOn w:val="TableNormal"/>
    <w:uiPriority w:val="63"/>
    <w:rsid w:val="00CB0664"/>
    <w:pPr>
      <w:spacing w:after="0" w:line="240" w:lineRule="auto"/>
    </w:pPr>
    <w:tblPr>
      <w:tblStyleRowBandSize w:val="1"/>
      <w:tblStyleColBandSize w:val="1"/>
      <w:tblInd w:type="dxa" w:w="0"/>
      <w:tblBorders>
        <w:top w:color="CF7B79" w:space="0" w:sz="8" w:themeColor="accent2" w:themeTint="BF" w:val="single"/>
        <w:left w:color="CF7B79" w:space="0" w:sz="8" w:themeColor="accent2" w:themeTint="BF" w:val="single"/>
        <w:bottom w:color="CF7B79" w:space="0" w:sz="8" w:themeColor="accent2" w:themeTint="BF" w:val="single"/>
        <w:right w:color="CF7B79" w:space="0" w:sz="8" w:themeColor="accent2" w:themeTint="BF" w:val="single"/>
        <w:insideH w:color="CF7B79" w:space="0" w:sz="8" w:themeColor="accent2" w:themeTint="BF"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CF7B79" w:space="0" w:sz="8" w:themeColor="accent2" w:themeTint="BF" w:val="single"/>
          <w:left w:color="CF7B79" w:space="0" w:sz="8" w:themeColor="accent2" w:themeTint="BF" w:val="single"/>
          <w:bottom w:color="CF7B79" w:space="0" w:sz="8" w:themeColor="accent2" w:themeTint="BF" w:val="single"/>
          <w:right w:color="CF7B79" w:space="0" w:sz="8" w:themeColor="accent2" w:themeTint="BF" w:val="single"/>
          <w:insideH w:val="nil"/>
          <w:insideV w:val="nil"/>
        </w:tcBorders>
        <w:shd w:color="auto" w:fill="C0504D" w:themeFill="accent2" w:val="clear"/>
      </w:tcPr>
    </w:tblStylePr>
    <w:tblStylePr w:type="lastRow">
      <w:pPr>
        <w:spacing w:after="0" w:before="0" w:line="240" w:lineRule="auto"/>
      </w:pPr>
      <w:rPr>
        <w:b/>
        <w:bCs/>
      </w:rPr>
      <w:tblPr/>
      <w:tcPr>
        <w:tcBorders>
          <w:top w:color="CF7B79" w:space="0" w:sz="6" w:themeColor="accent2" w:themeTint="BF" w:val="double"/>
          <w:left w:color="CF7B79" w:space="0" w:sz="8" w:themeColor="accent2" w:themeTint="BF" w:val="single"/>
          <w:bottom w:color="CF7B79" w:space="0" w:sz="8" w:themeColor="accent2" w:themeTint="BF" w:val="single"/>
          <w:right w:color="CF7B79" w:space="0" w:sz="8" w:themeColor="accent2" w:themeTint="BF" w:val="single"/>
          <w:insideH w:val="nil"/>
          <w:insideV w:val="nil"/>
        </w:tcBorders>
      </w:tcPr>
    </w:tblStylePr>
    <w:tblStylePr w:type="firstCol">
      <w:rPr>
        <w:b/>
        <w:bCs/>
      </w:rPr>
    </w:tblStylePr>
    <w:tblStylePr w:type="lastCol">
      <w:rPr>
        <w:b/>
        <w:bCs/>
      </w:rPr>
    </w:tblStylePr>
    <w:tblStylePr w:type="band1Vert">
      <w:tblPr/>
      <w:tcPr>
        <w:shd w:color="auto" w:fill="EFD3D2" w:themeFill="accent2" w:themeFillTint="3F" w:val="clear"/>
      </w:tcPr>
    </w:tblStylePr>
    <w:tblStylePr w:type="band1Horz">
      <w:tblPr/>
      <w:tcPr>
        <w:tcBorders>
          <w:insideH w:val="nil"/>
          <w:insideV w:val="nil"/>
        </w:tcBorders>
        <w:shd w:color="auto" w:fill="EFD3D2" w:themeFill="accent2" w:themeFillTint="3F" w:val="clear"/>
      </w:tcPr>
    </w:tblStylePr>
    <w:tblStylePr w:type="band2Horz">
      <w:tblPr/>
      <w:tcPr>
        <w:tcBorders>
          <w:insideH w:val="nil"/>
          <w:insideV w:val="nil"/>
        </w:tcBorders>
      </w:tcPr>
    </w:tblStylePr>
  </w:style>
  <w:style w:styleId="MediumShading1-Accent3" w:type="table">
    <w:name w:val="Medium Shading 1 Accent 3"/>
    <w:basedOn w:val="TableNormal"/>
    <w:uiPriority w:val="63"/>
    <w:rsid w:val="00CB0664"/>
    <w:pPr>
      <w:spacing w:after="0" w:line="240" w:lineRule="auto"/>
    </w:pPr>
    <w:tblPr>
      <w:tblStyleRowBandSize w:val="1"/>
      <w:tblStyleColBandSize w:val="1"/>
      <w:tblInd w:type="dxa" w:w="0"/>
      <w:tblBorders>
        <w:top w:color="B3CC82" w:space="0" w:sz="8" w:themeColor="accent3" w:themeTint="BF" w:val="single"/>
        <w:left w:color="B3CC82" w:space="0" w:sz="8" w:themeColor="accent3" w:themeTint="BF" w:val="single"/>
        <w:bottom w:color="B3CC82" w:space="0" w:sz="8" w:themeColor="accent3" w:themeTint="BF" w:val="single"/>
        <w:right w:color="B3CC82" w:space="0" w:sz="8" w:themeColor="accent3" w:themeTint="BF" w:val="single"/>
        <w:insideH w:color="B3CC82" w:space="0" w:sz="8" w:themeColor="accent3" w:themeTint="BF"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B3CC82" w:space="0" w:sz="8" w:themeColor="accent3" w:themeTint="BF" w:val="single"/>
          <w:left w:color="B3CC82" w:space="0" w:sz="8" w:themeColor="accent3" w:themeTint="BF" w:val="single"/>
          <w:bottom w:color="B3CC82" w:space="0" w:sz="8" w:themeColor="accent3" w:themeTint="BF" w:val="single"/>
          <w:right w:color="B3CC82" w:space="0" w:sz="8" w:themeColor="accent3" w:themeTint="BF" w:val="single"/>
          <w:insideH w:val="nil"/>
          <w:insideV w:val="nil"/>
        </w:tcBorders>
        <w:shd w:color="auto" w:fill="9BBB59" w:themeFill="accent3" w:val="clear"/>
      </w:tcPr>
    </w:tblStylePr>
    <w:tblStylePr w:type="lastRow">
      <w:pPr>
        <w:spacing w:after="0" w:before="0" w:line="240" w:lineRule="auto"/>
      </w:pPr>
      <w:rPr>
        <w:b/>
        <w:bCs/>
      </w:rPr>
      <w:tblPr/>
      <w:tcPr>
        <w:tcBorders>
          <w:top w:color="B3CC82" w:space="0" w:sz="6" w:themeColor="accent3" w:themeTint="BF" w:val="double"/>
          <w:left w:color="B3CC82" w:space="0" w:sz="8" w:themeColor="accent3" w:themeTint="BF" w:val="single"/>
          <w:bottom w:color="B3CC82" w:space="0" w:sz="8" w:themeColor="accent3" w:themeTint="BF" w:val="single"/>
          <w:right w:color="B3CC82" w:space="0" w:sz="8" w:themeColor="accent3" w:themeTint="BF" w:val="single"/>
          <w:insideH w:val="nil"/>
          <w:insideV w:val="nil"/>
        </w:tcBorders>
      </w:tcPr>
    </w:tblStylePr>
    <w:tblStylePr w:type="firstCol">
      <w:rPr>
        <w:b/>
        <w:bCs/>
      </w:rPr>
    </w:tblStylePr>
    <w:tblStylePr w:type="lastCol">
      <w:rPr>
        <w:b/>
        <w:bCs/>
      </w:rPr>
    </w:tblStylePr>
    <w:tblStylePr w:type="band1Vert">
      <w:tblPr/>
      <w:tcPr>
        <w:shd w:color="auto" w:fill="E6EED5" w:themeFill="accent3" w:themeFillTint="3F" w:val="clear"/>
      </w:tcPr>
    </w:tblStylePr>
    <w:tblStylePr w:type="band1Horz">
      <w:tblPr/>
      <w:tcPr>
        <w:tcBorders>
          <w:insideH w:val="nil"/>
          <w:insideV w:val="nil"/>
        </w:tcBorders>
        <w:shd w:color="auto" w:fill="E6EED5" w:themeFill="accent3" w:themeFillTint="3F" w:val="clear"/>
      </w:tcPr>
    </w:tblStylePr>
    <w:tblStylePr w:type="band2Horz">
      <w:tblPr/>
      <w:tcPr>
        <w:tcBorders>
          <w:insideH w:val="nil"/>
          <w:insideV w:val="nil"/>
        </w:tcBorders>
      </w:tcPr>
    </w:tblStylePr>
  </w:style>
  <w:style w:styleId="MediumShading1-Accent4" w:type="table">
    <w:name w:val="Medium Shading 1 Accent 4"/>
    <w:basedOn w:val="TableNormal"/>
    <w:uiPriority w:val="63"/>
    <w:rsid w:val="00CB0664"/>
    <w:pPr>
      <w:spacing w:after="0" w:line="240" w:lineRule="auto"/>
    </w:pPr>
    <w:tblPr>
      <w:tblStyleRowBandSize w:val="1"/>
      <w:tblStyleColBandSize w:val="1"/>
      <w:tblInd w:type="dxa" w:w="0"/>
      <w:tblBorders>
        <w:top w:color="9F8AB9" w:space="0" w:sz="8" w:themeColor="accent4" w:themeTint="BF" w:val="single"/>
        <w:left w:color="9F8AB9" w:space="0" w:sz="8" w:themeColor="accent4" w:themeTint="BF" w:val="single"/>
        <w:bottom w:color="9F8AB9" w:space="0" w:sz="8" w:themeColor="accent4" w:themeTint="BF" w:val="single"/>
        <w:right w:color="9F8AB9" w:space="0" w:sz="8" w:themeColor="accent4" w:themeTint="BF" w:val="single"/>
        <w:insideH w:color="9F8AB9" w:space="0" w:sz="8" w:themeColor="accent4" w:themeTint="BF"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9F8AB9" w:space="0" w:sz="8" w:themeColor="accent4" w:themeTint="BF" w:val="single"/>
          <w:left w:color="9F8AB9" w:space="0" w:sz="8" w:themeColor="accent4" w:themeTint="BF" w:val="single"/>
          <w:bottom w:color="9F8AB9" w:space="0" w:sz="8" w:themeColor="accent4" w:themeTint="BF" w:val="single"/>
          <w:right w:color="9F8AB9" w:space="0" w:sz="8" w:themeColor="accent4" w:themeTint="BF" w:val="single"/>
          <w:insideH w:val="nil"/>
          <w:insideV w:val="nil"/>
        </w:tcBorders>
        <w:shd w:color="auto" w:fill="8064A2" w:themeFill="accent4" w:val="clear"/>
      </w:tcPr>
    </w:tblStylePr>
    <w:tblStylePr w:type="lastRow">
      <w:pPr>
        <w:spacing w:after="0" w:before="0" w:line="240" w:lineRule="auto"/>
      </w:pPr>
      <w:rPr>
        <w:b/>
        <w:bCs/>
      </w:rPr>
      <w:tblPr/>
      <w:tcPr>
        <w:tcBorders>
          <w:top w:color="9F8AB9" w:space="0" w:sz="6" w:themeColor="accent4" w:themeTint="BF" w:val="double"/>
          <w:left w:color="9F8AB9" w:space="0" w:sz="8" w:themeColor="accent4" w:themeTint="BF" w:val="single"/>
          <w:bottom w:color="9F8AB9" w:space="0" w:sz="8" w:themeColor="accent4" w:themeTint="BF" w:val="single"/>
          <w:right w:color="9F8AB9" w:space="0" w:sz="8" w:themeColor="accent4" w:themeTint="BF" w:val="single"/>
          <w:insideH w:val="nil"/>
          <w:insideV w:val="nil"/>
        </w:tcBorders>
      </w:tcPr>
    </w:tblStylePr>
    <w:tblStylePr w:type="firstCol">
      <w:rPr>
        <w:b/>
        <w:bCs/>
      </w:rPr>
    </w:tblStylePr>
    <w:tblStylePr w:type="lastCol">
      <w:rPr>
        <w:b/>
        <w:bCs/>
      </w:rPr>
    </w:tblStylePr>
    <w:tblStylePr w:type="band1Vert">
      <w:tblPr/>
      <w:tcPr>
        <w:shd w:color="auto" w:fill="DFD8E8" w:themeFill="accent4" w:themeFillTint="3F" w:val="clear"/>
      </w:tcPr>
    </w:tblStylePr>
    <w:tblStylePr w:type="band1Horz">
      <w:tblPr/>
      <w:tcPr>
        <w:tcBorders>
          <w:insideH w:val="nil"/>
          <w:insideV w:val="nil"/>
        </w:tcBorders>
        <w:shd w:color="auto" w:fill="DFD8E8" w:themeFill="accent4" w:themeFillTint="3F" w:val="clear"/>
      </w:tcPr>
    </w:tblStylePr>
    <w:tblStylePr w:type="band2Horz">
      <w:tblPr/>
      <w:tcPr>
        <w:tcBorders>
          <w:insideH w:val="nil"/>
          <w:insideV w:val="nil"/>
        </w:tcBorders>
      </w:tcPr>
    </w:tblStylePr>
  </w:style>
  <w:style w:styleId="MediumShading1-Accent5" w:type="table">
    <w:name w:val="Medium Shading 1 Accent 5"/>
    <w:basedOn w:val="TableNormal"/>
    <w:uiPriority w:val="63"/>
    <w:rsid w:val="00CB0664"/>
    <w:pPr>
      <w:spacing w:after="0" w:line="240" w:lineRule="auto"/>
    </w:pPr>
    <w:tblPr>
      <w:tblStyleRowBandSize w:val="1"/>
      <w:tblStyleColBandSize w:val="1"/>
      <w:tblInd w:type="dxa" w:w="0"/>
      <w:tblBorders>
        <w:top w:color="78C0D4" w:space="0" w:sz="8" w:themeColor="accent5" w:themeTint="BF" w:val="single"/>
        <w:left w:color="78C0D4" w:space="0" w:sz="8" w:themeColor="accent5" w:themeTint="BF" w:val="single"/>
        <w:bottom w:color="78C0D4" w:space="0" w:sz="8" w:themeColor="accent5" w:themeTint="BF" w:val="single"/>
        <w:right w:color="78C0D4" w:space="0" w:sz="8" w:themeColor="accent5" w:themeTint="BF" w:val="single"/>
        <w:insideH w:color="78C0D4" w:space="0" w:sz="8" w:themeColor="accent5" w:themeTint="BF"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78C0D4" w:space="0" w:sz="8" w:themeColor="accent5" w:themeTint="BF" w:val="single"/>
          <w:left w:color="78C0D4" w:space="0" w:sz="8" w:themeColor="accent5" w:themeTint="BF" w:val="single"/>
          <w:bottom w:color="78C0D4" w:space="0" w:sz="8" w:themeColor="accent5" w:themeTint="BF" w:val="single"/>
          <w:right w:color="78C0D4" w:space="0" w:sz="8" w:themeColor="accent5" w:themeTint="BF" w:val="single"/>
          <w:insideH w:val="nil"/>
          <w:insideV w:val="nil"/>
        </w:tcBorders>
        <w:shd w:color="auto" w:fill="4BACC6" w:themeFill="accent5" w:val="clear"/>
      </w:tcPr>
    </w:tblStylePr>
    <w:tblStylePr w:type="lastRow">
      <w:pPr>
        <w:spacing w:after="0" w:before="0" w:line="240" w:lineRule="auto"/>
      </w:pPr>
      <w:rPr>
        <w:b/>
        <w:bCs/>
      </w:rPr>
      <w:tblPr/>
      <w:tcPr>
        <w:tcBorders>
          <w:top w:color="78C0D4" w:space="0" w:sz="6" w:themeColor="accent5" w:themeTint="BF" w:val="double"/>
          <w:left w:color="78C0D4" w:space="0" w:sz="8" w:themeColor="accent5" w:themeTint="BF" w:val="single"/>
          <w:bottom w:color="78C0D4" w:space="0" w:sz="8" w:themeColor="accent5" w:themeTint="BF" w:val="single"/>
          <w:right w:color="78C0D4" w:space="0" w:sz="8" w:themeColor="accent5" w:themeTint="BF" w:val="single"/>
          <w:insideH w:val="nil"/>
          <w:insideV w:val="nil"/>
        </w:tcBorders>
      </w:tcPr>
    </w:tblStylePr>
    <w:tblStylePr w:type="firstCol">
      <w:rPr>
        <w:b/>
        <w:bCs/>
      </w:rPr>
    </w:tblStylePr>
    <w:tblStylePr w:type="lastCol">
      <w:rPr>
        <w:b/>
        <w:bCs/>
      </w:rPr>
    </w:tblStylePr>
    <w:tblStylePr w:type="band1Vert">
      <w:tblPr/>
      <w:tcPr>
        <w:shd w:color="auto" w:fill="D2EAF1" w:themeFill="accent5" w:themeFillTint="3F" w:val="clear"/>
      </w:tcPr>
    </w:tblStylePr>
    <w:tblStylePr w:type="band1Horz">
      <w:tblPr/>
      <w:tcPr>
        <w:tcBorders>
          <w:insideH w:val="nil"/>
          <w:insideV w:val="nil"/>
        </w:tcBorders>
        <w:shd w:color="auto" w:fill="D2EAF1" w:themeFill="accent5" w:themeFillTint="3F" w:val="clear"/>
      </w:tcPr>
    </w:tblStylePr>
    <w:tblStylePr w:type="band2Horz">
      <w:tblPr/>
      <w:tcPr>
        <w:tcBorders>
          <w:insideH w:val="nil"/>
          <w:insideV w:val="nil"/>
        </w:tcBorders>
      </w:tcPr>
    </w:tblStylePr>
  </w:style>
  <w:style w:styleId="MediumShading1-Accent6" w:type="table">
    <w:name w:val="Medium Shading 1 Accent 6"/>
    <w:basedOn w:val="TableNormal"/>
    <w:uiPriority w:val="63"/>
    <w:rsid w:val="00CB0664"/>
    <w:pPr>
      <w:spacing w:after="0" w:line="240" w:lineRule="auto"/>
    </w:pPr>
    <w:tblPr>
      <w:tblStyleRowBandSize w:val="1"/>
      <w:tblStyleColBandSize w:val="1"/>
      <w:tblInd w:type="dxa" w:w="0"/>
      <w:tblBorders>
        <w:top w:color="F9B074" w:space="0" w:sz="8" w:themeColor="accent6" w:themeTint="BF" w:val="single"/>
        <w:left w:color="F9B074" w:space="0" w:sz="8" w:themeColor="accent6" w:themeTint="BF" w:val="single"/>
        <w:bottom w:color="F9B074" w:space="0" w:sz="8" w:themeColor="accent6" w:themeTint="BF" w:val="single"/>
        <w:right w:color="F9B074" w:space="0" w:sz="8" w:themeColor="accent6" w:themeTint="BF" w:val="single"/>
        <w:insideH w:color="F9B074" w:space="0" w:sz="8" w:themeColor="accent6" w:themeTint="BF"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F9B074" w:space="0" w:sz="8" w:themeColor="accent6" w:themeTint="BF" w:val="single"/>
          <w:left w:color="F9B074" w:space="0" w:sz="8" w:themeColor="accent6" w:themeTint="BF" w:val="single"/>
          <w:bottom w:color="F9B074" w:space="0" w:sz="8" w:themeColor="accent6" w:themeTint="BF" w:val="single"/>
          <w:right w:color="F9B074" w:space="0" w:sz="8" w:themeColor="accent6" w:themeTint="BF" w:val="single"/>
          <w:insideH w:val="nil"/>
          <w:insideV w:val="nil"/>
        </w:tcBorders>
        <w:shd w:color="auto" w:fill="F79646" w:themeFill="accent6" w:val="clear"/>
      </w:tcPr>
    </w:tblStylePr>
    <w:tblStylePr w:type="lastRow">
      <w:pPr>
        <w:spacing w:after="0" w:before="0" w:line="240" w:lineRule="auto"/>
      </w:pPr>
      <w:rPr>
        <w:b/>
        <w:bCs/>
      </w:rPr>
      <w:tblPr/>
      <w:tcPr>
        <w:tcBorders>
          <w:top w:color="F9B074" w:space="0" w:sz="6" w:themeColor="accent6" w:themeTint="BF" w:val="double"/>
          <w:left w:color="F9B074" w:space="0" w:sz="8" w:themeColor="accent6" w:themeTint="BF" w:val="single"/>
          <w:bottom w:color="F9B074" w:space="0" w:sz="8" w:themeColor="accent6" w:themeTint="BF" w:val="single"/>
          <w:right w:color="F9B074" w:space="0" w:sz="8" w:themeColor="accent6" w:themeTint="BF" w:val="single"/>
          <w:insideH w:val="nil"/>
          <w:insideV w:val="nil"/>
        </w:tcBorders>
      </w:tcPr>
    </w:tblStylePr>
    <w:tblStylePr w:type="firstCol">
      <w:rPr>
        <w:b/>
        <w:bCs/>
      </w:rPr>
    </w:tblStylePr>
    <w:tblStylePr w:type="lastCol">
      <w:rPr>
        <w:b/>
        <w:bCs/>
      </w:rPr>
    </w:tblStylePr>
    <w:tblStylePr w:type="band1Vert">
      <w:tblPr/>
      <w:tcPr>
        <w:shd w:color="auto" w:fill="FDE4D0" w:themeFill="accent6" w:themeFillTint="3F" w:val="clear"/>
      </w:tcPr>
    </w:tblStylePr>
    <w:tblStylePr w:type="band1Horz">
      <w:tblPr/>
      <w:tcPr>
        <w:tcBorders>
          <w:insideH w:val="nil"/>
          <w:insideV w:val="nil"/>
        </w:tcBorders>
        <w:shd w:color="auto" w:fill="FDE4D0" w:themeFill="accent6" w:themeFillTint="3F" w:val="clear"/>
      </w:tcPr>
    </w:tblStylePr>
    <w:tblStylePr w:type="band2Horz">
      <w:tblPr/>
      <w:tcPr>
        <w:tcBorders>
          <w:insideH w:val="nil"/>
          <w:insideV w:val="nil"/>
        </w:tcBorders>
      </w:tcPr>
    </w:tblStylePr>
  </w:style>
  <w:style w:styleId="MediumShading2" w:type="table">
    <w:name w:val="Medium Shading 2"/>
    <w:basedOn w:val="TableNormal"/>
    <w:uiPriority w:val="64"/>
    <w:rsid w:val="00CB0664"/>
    <w:pPr>
      <w:spacing w:after="0" w:line="240" w:lineRule="auto"/>
    </w:pPr>
    <w:tblPr>
      <w:tblStyleRowBandSize w:val="1"/>
      <w:tblStyleColBandSize w:val="1"/>
      <w:tblInd w:type="dxa" w:w="0"/>
      <w:tblBorders>
        <w:top w:color="auto" w:space="0" w:sz="18" w:val="single"/>
        <w:bottom w:color="auto" w:space="0" w:sz="18"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000000" w:themeFill="text1"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000000" w:themeFill="text1" w:val="clear"/>
      </w:tcPr>
    </w:tblStylePr>
    <w:tblStylePr w:type="lastCol">
      <w:rPr>
        <w:b/>
        <w:bCs/>
        <w:color w:themeColor="background1" w:val="FFFFFF"/>
      </w:rPr>
      <w:tblPr/>
      <w:tcPr>
        <w:tcBorders>
          <w:left w:val="nil"/>
          <w:right w:val="nil"/>
          <w:insideH w:val="nil"/>
          <w:insideV w:val="nil"/>
        </w:tcBorders>
        <w:shd w:color="auto" w:fill="000000" w:themeFill="text1"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MediumShading2-Accent1" w:type="table">
    <w:name w:val="Medium Shading 2 Accent 1"/>
    <w:basedOn w:val="TableNormal"/>
    <w:uiPriority w:val="64"/>
    <w:rsid w:val="00CB0664"/>
    <w:pPr>
      <w:spacing w:after="0" w:line="240" w:lineRule="auto"/>
    </w:pPr>
    <w:tblPr>
      <w:tblStyleRowBandSize w:val="1"/>
      <w:tblStyleColBandSize w:val="1"/>
      <w:tblInd w:type="dxa" w:w="0"/>
      <w:tblBorders>
        <w:top w:color="auto" w:space="0" w:sz="18" w:val="single"/>
        <w:bottom w:color="auto" w:space="0" w:sz="18"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4F81BD" w:themeFill="accent1"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4F81BD" w:themeFill="accent1" w:val="clear"/>
      </w:tcPr>
    </w:tblStylePr>
    <w:tblStylePr w:type="lastCol">
      <w:rPr>
        <w:b/>
        <w:bCs/>
        <w:color w:themeColor="background1" w:val="FFFFFF"/>
      </w:rPr>
      <w:tblPr/>
      <w:tcPr>
        <w:tcBorders>
          <w:left w:val="nil"/>
          <w:right w:val="nil"/>
          <w:insideH w:val="nil"/>
          <w:insideV w:val="nil"/>
        </w:tcBorders>
        <w:shd w:color="auto" w:fill="4F81BD" w:themeFill="accent1"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MediumShading2-Accent2" w:type="table">
    <w:name w:val="Medium Shading 2 Accent 2"/>
    <w:basedOn w:val="TableNormal"/>
    <w:uiPriority w:val="64"/>
    <w:rsid w:val="00CB0664"/>
    <w:pPr>
      <w:spacing w:after="0" w:line="240" w:lineRule="auto"/>
    </w:pPr>
    <w:tblPr>
      <w:tblStyleRowBandSize w:val="1"/>
      <w:tblStyleColBandSize w:val="1"/>
      <w:tblInd w:type="dxa" w:w="0"/>
      <w:tblBorders>
        <w:top w:color="auto" w:space="0" w:sz="18" w:val="single"/>
        <w:bottom w:color="auto" w:space="0" w:sz="18"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C0504D" w:themeFill="accent2"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C0504D" w:themeFill="accent2" w:val="clear"/>
      </w:tcPr>
    </w:tblStylePr>
    <w:tblStylePr w:type="lastCol">
      <w:rPr>
        <w:b/>
        <w:bCs/>
        <w:color w:themeColor="background1" w:val="FFFFFF"/>
      </w:rPr>
      <w:tblPr/>
      <w:tcPr>
        <w:tcBorders>
          <w:left w:val="nil"/>
          <w:right w:val="nil"/>
          <w:insideH w:val="nil"/>
          <w:insideV w:val="nil"/>
        </w:tcBorders>
        <w:shd w:color="auto" w:fill="C0504D" w:themeFill="accent2"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MediumShading2-Accent3" w:type="table">
    <w:name w:val="Medium Shading 2 Accent 3"/>
    <w:basedOn w:val="TableNormal"/>
    <w:uiPriority w:val="64"/>
    <w:rsid w:val="00CB0664"/>
    <w:pPr>
      <w:spacing w:after="0" w:line="240" w:lineRule="auto"/>
    </w:pPr>
    <w:tblPr>
      <w:tblStyleRowBandSize w:val="1"/>
      <w:tblStyleColBandSize w:val="1"/>
      <w:tblInd w:type="dxa" w:w="0"/>
      <w:tblBorders>
        <w:top w:color="auto" w:space="0" w:sz="18" w:val="single"/>
        <w:bottom w:color="auto" w:space="0" w:sz="18"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9BBB59" w:themeFill="accent3"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9BBB59" w:themeFill="accent3" w:val="clear"/>
      </w:tcPr>
    </w:tblStylePr>
    <w:tblStylePr w:type="lastCol">
      <w:rPr>
        <w:b/>
        <w:bCs/>
        <w:color w:themeColor="background1" w:val="FFFFFF"/>
      </w:rPr>
      <w:tblPr/>
      <w:tcPr>
        <w:tcBorders>
          <w:left w:val="nil"/>
          <w:right w:val="nil"/>
          <w:insideH w:val="nil"/>
          <w:insideV w:val="nil"/>
        </w:tcBorders>
        <w:shd w:color="auto" w:fill="9BBB59" w:themeFill="accent3"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MediumShading2-Accent4" w:type="table">
    <w:name w:val="Medium Shading 2 Accent 4"/>
    <w:basedOn w:val="TableNormal"/>
    <w:uiPriority w:val="64"/>
    <w:rsid w:val="00CB0664"/>
    <w:pPr>
      <w:spacing w:after="0" w:line="240" w:lineRule="auto"/>
    </w:pPr>
    <w:tblPr>
      <w:tblStyleRowBandSize w:val="1"/>
      <w:tblStyleColBandSize w:val="1"/>
      <w:tblInd w:type="dxa" w:w="0"/>
      <w:tblBorders>
        <w:top w:color="auto" w:space="0" w:sz="18" w:val="single"/>
        <w:bottom w:color="auto" w:space="0" w:sz="18"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8064A2" w:themeFill="accent4"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8064A2" w:themeFill="accent4" w:val="clear"/>
      </w:tcPr>
    </w:tblStylePr>
    <w:tblStylePr w:type="lastCol">
      <w:rPr>
        <w:b/>
        <w:bCs/>
        <w:color w:themeColor="background1" w:val="FFFFFF"/>
      </w:rPr>
      <w:tblPr/>
      <w:tcPr>
        <w:tcBorders>
          <w:left w:val="nil"/>
          <w:right w:val="nil"/>
          <w:insideH w:val="nil"/>
          <w:insideV w:val="nil"/>
        </w:tcBorders>
        <w:shd w:color="auto" w:fill="8064A2" w:themeFill="accent4"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MediumShading2-Accent5" w:type="table">
    <w:name w:val="Medium Shading 2 Accent 5"/>
    <w:basedOn w:val="TableNormal"/>
    <w:uiPriority w:val="64"/>
    <w:rsid w:val="00CB0664"/>
    <w:pPr>
      <w:spacing w:after="0" w:line="240" w:lineRule="auto"/>
    </w:pPr>
    <w:tblPr>
      <w:tblStyleRowBandSize w:val="1"/>
      <w:tblStyleColBandSize w:val="1"/>
      <w:tblInd w:type="dxa" w:w="0"/>
      <w:tblBorders>
        <w:top w:color="auto" w:space="0" w:sz="18" w:val="single"/>
        <w:bottom w:color="auto" w:space="0" w:sz="18"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4BACC6" w:themeFill="accent5"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4BACC6" w:themeFill="accent5" w:val="clear"/>
      </w:tcPr>
    </w:tblStylePr>
    <w:tblStylePr w:type="lastCol">
      <w:rPr>
        <w:b/>
        <w:bCs/>
        <w:color w:themeColor="background1" w:val="FFFFFF"/>
      </w:rPr>
      <w:tblPr/>
      <w:tcPr>
        <w:tcBorders>
          <w:left w:val="nil"/>
          <w:right w:val="nil"/>
          <w:insideH w:val="nil"/>
          <w:insideV w:val="nil"/>
        </w:tcBorders>
        <w:shd w:color="auto" w:fill="4BACC6" w:themeFill="accent5"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MediumShading2-Accent6" w:type="table">
    <w:name w:val="Medium Shading 2 Accent 6"/>
    <w:basedOn w:val="TableNormal"/>
    <w:uiPriority w:val="64"/>
    <w:rsid w:val="00CB0664"/>
    <w:pPr>
      <w:spacing w:after="0" w:line="240" w:lineRule="auto"/>
    </w:pPr>
    <w:tblPr>
      <w:tblStyleRowBandSize w:val="1"/>
      <w:tblStyleColBandSize w:val="1"/>
      <w:tblInd w:type="dxa" w:w="0"/>
      <w:tblBorders>
        <w:top w:color="auto" w:space="0" w:sz="18" w:val="single"/>
        <w:bottom w:color="auto" w:space="0" w:sz="18"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F79646" w:themeFill="accent6"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F79646" w:themeFill="accent6" w:val="clear"/>
      </w:tcPr>
    </w:tblStylePr>
    <w:tblStylePr w:type="lastCol">
      <w:rPr>
        <w:b/>
        <w:bCs/>
        <w:color w:themeColor="background1" w:val="FFFFFF"/>
      </w:rPr>
      <w:tblPr/>
      <w:tcPr>
        <w:tcBorders>
          <w:left w:val="nil"/>
          <w:right w:val="nil"/>
          <w:insideH w:val="nil"/>
          <w:insideV w:val="nil"/>
        </w:tcBorders>
        <w:shd w:color="auto" w:fill="F79646" w:themeFill="accent6"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MediumList1" w:type="table">
    <w:name w:val="Medium List 1"/>
    <w:basedOn w:val="TableNormal"/>
    <w:uiPriority w:val="65"/>
    <w:rsid w:val="00CB0664"/>
    <w:pPr>
      <w:spacing w:after="0" w:line="240" w:lineRule="auto"/>
    </w:pPr>
    <w:rPr>
      <w:color w:themeColor="text1" w:val="000000"/>
    </w:rPr>
    <w:tblPr>
      <w:tblStyleRowBandSize w:val="1"/>
      <w:tblStyleColBandSize w:val="1"/>
      <w:tblInd w:type="dxa" w:w="0"/>
      <w:tblBorders>
        <w:top w:color="000000" w:space="0" w:sz="8" w:themeColor="text1" w:val="single"/>
        <w:bottom w:color="000000" w:space="0" w:sz="8" w:themeColor="text1" w:val="single"/>
      </w:tblBorders>
      <w:tblCellMar>
        <w:top w:type="dxa" w:w="0"/>
        <w:left w:type="dxa" w:w="108"/>
        <w:bottom w:type="dxa" w:w="0"/>
        <w:right w:type="dxa" w:w="108"/>
      </w:tblCellMar>
    </w:tblPr>
    <w:tblStylePr w:type="firstRow">
      <w:rPr>
        <w:rFonts w:asciiTheme="majorHAnsi" w:cstheme="majorBidi" w:eastAsiaTheme="majorEastAsia" w:hAnsiTheme="majorHAnsi"/>
      </w:rPr>
      <w:tblPr/>
      <w:tcPr>
        <w:tcBorders>
          <w:top w:val="nil"/>
          <w:bottom w:color="000000" w:space="0" w:sz="8" w:themeColor="text1" w:val="single"/>
        </w:tcBorders>
      </w:tcPr>
    </w:tblStylePr>
    <w:tblStylePr w:type="lastRow">
      <w:rPr>
        <w:b/>
        <w:bCs/>
        <w:color w:themeColor="text2" w:val="1F497D"/>
      </w:rPr>
      <w:tblPr/>
      <w:tcPr>
        <w:tcBorders>
          <w:top w:color="000000" w:space="0" w:sz="8" w:themeColor="text1" w:val="single"/>
          <w:bottom w:color="000000" w:space="0" w:sz="8" w:themeColor="text1" w:val="single"/>
        </w:tcBorders>
      </w:tcPr>
    </w:tblStylePr>
    <w:tblStylePr w:type="firstCol">
      <w:rPr>
        <w:b/>
        <w:bCs/>
      </w:rPr>
    </w:tblStylePr>
    <w:tblStylePr w:type="lastCol">
      <w:rPr>
        <w:b/>
        <w:bCs/>
      </w:rPr>
      <w:tblPr/>
      <w:tcPr>
        <w:tcBorders>
          <w:top w:color="000000" w:space="0" w:sz="8" w:themeColor="text1" w:val="single"/>
          <w:bottom w:color="000000" w:space="0" w:sz="8" w:themeColor="text1" w:val="single"/>
        </w:tcBorders>
      </w:tcPr>
    </w:tblStylePr>
    <w:tblStylePr w:type="band1Vert">
      <w:tblPr/>
      <w:tcPr>
        <w:shd w:color="auto" w:fill="C0C0C0" w:themeFill="text1" w:themeFillTint="3F" w:val="clear"/>
      </w:tcPr>
    </w:tblStylePr>
    <w:tblStylePr w:type="band1Horz">
      <w:tblPr/>
      <w:tcPr>
        <w:shd w:color="auto" w:fill="C0C0C0" w:themeFill="text1" w:themeFillTint="3F" w:val="clear"/>
      </w:tcPr>
    </w:tblStylePr>
  </w:style>
  <w:style w:styleId="MediumList1-Accent1" w:type="table">
    <w:name w:val="Medium List 1 Accent 1"/>
    <w:basedOn w:val="TableNormal"/>
    <w:uiPriority w:val="65"/>
    <w:rsid w:val="00CB0664"/>
    <w:pPr>
      <w:spacing w:after="0" w:line="240" w:lineRule="auto"/>
    </w:pPr>
    <w:rPr>
      <w:color w:themeColor="text1" w:val="000000"/>
    </w:rPr>
    <w:tblPr>
      <w:tblStyleRowBandSize w:val="1"/>
      <w:tblStyleColBandSize w:val="1"/>
      <w:tblInd w:type="dxa" w:w="0"/>
      <w:tblBorders>
        <w:top w:color="4F81BD" w:space="0" w:sz="8" w:themeColor="accent1" w:val="single"/>
        <w:bottom w:color="4F81BD" w:space="0" w:sz="8" w:themeColor="accent1" w:val="single"/>
      </w:tblBorders>
      <w:tblCellMar>
        <w:top w:type="dxa" w:w="0"/>
        <w:left w:type="dxa" w:w="108"/>
        <w:bottom w:type="dxa" w:w="0"/>
        <w:right w:type="dxa" w:w="108"/>
      </w:tblCellMar>
    </w:tblPr>
    <w:tblStylePr w:type="firstRow">
      <w:rPr>
        <w:rFonts w:asciiTheme="majorHAnsi" w:cstheme="majorBidi" w:eastAsiaTheme="majorEastAsia" w:hAnsiTheme="majorHAnsi"/>
      </w:rPr>
      <w:tblPr/>
      <w:tcPr>
        <w:tcBorders>
          <w:top w:val="nil"/>
          <w:bottom w:color="4F81BD" w:space="0" w:sz="8" w:themeColor="accent1" w:val="single"/>
        </w:tcBorders>
      </w:tcPr>
    </w:tblStylePr>
    <w:tblStylePr w:type="lastRow">
      <w:rPr>
        <w:b/>
        <w:bCs/>
        <w:color w:themeColor="text2" w:val="1F497D"/>
      </w:rPr>
      <w:tblPr/>
      <w:tcPr>
        <w:tcBorders>
          <w:top w:color="4F81BD" w:space="0" w:sz="8" w:themeColor="accent1" w:val="single"/>
          <w:bottom w:color="4F81BD" w:space="0" w:sz="8" w:themeColor="accent1" w:val="single"/>
        </w:tcBorders>
      </w:tcPr>
    </w:tblStylePr>
    <w:tblStylePr w:type="firstCol">
      <w:rPr>
        <w:b/>
        <w:bCs/>
      </w:rPr>
    </w:tblStylePr>
    <w:tblStylePr w:type="lastCol">
      <w:rPr>
        <w:b/>
        <w:bCs/>
      </w:rPr>
      <w:tblPr/>
      <w:tcPr>
        <w:tcBorders>
          <w:top w:color="4F81BD" w:space="0" w:sz="8" w:themeColor="accent1" w:val="single"/>
          <w:bottom w:color="4F81BD" w:space="0" w:sz="8" w:themeColor="accent1" w:val="single"/>
        </w:tcBorders>
      </w:tcPr>
    </w:tblStylePr>
    <w:tblStylePr w:type="band1Vert">
      <w:tblPr/>
      <w:tcPr>
        <w:shd w:color="auto" w:fill="D3DFEE" w:themeFill="accent1" w:themeFillTint="3F" w:val="clear"/>
      </w:tcPr>
    </w:tblStylePr>
    <w:tblStylePr w:type="band1Horz">
      <w:tblPr/>
      <w:tcPr>
        <w:shd w:color="auto" w:fill="D3DFEE" w:themeFill="accent1" w:themeFillTint="3F" w:val="clear"/>
      </w:tcPr>
    </w:tblStylePr>
  </w:style>
  <w:style w:styleId="MediumList1-Accent2" w:type="table">
    <w:name w:val="Medium List 1 Accent 2"/>
    <w:basedOn w:val="TableNormal"/>
    <w:uiPriority w:val="65"/>
    <w:rsid w:val="00CB0664"/>
    <w:pPr>
      <w:spacing w:after="0" w:line="240" w:lineRule="auto"/>
    </w:pPr>
    <w:rPr>
      <w:color w:themeColor="text1" w:val="000000"/>
    </w:rPr>
    <w:tblPr>
      <w:tblStyleRowBandSize w:val="1"/>
      <w:tblStyleColBandSize w:val="1"/>
      <w:tblInd w:type="dxa" w:w="0"/>
      <w:tblBorders>
        <w:top w:color="C0504D" w:space="0" w:sz="8" w:themeColor="accent2" w:val="single"/>
        <w:bottom w:color="C0504D" w:space="0" w:sz="8" w:themeColor="accent2" w:val="single"/>
      </w:tblBorders>
      <w:tblCellMar>
        <w:top w:type="dxa" w:w="0"/>
        <w:left w:type="dxa" w:w="108"/>
        <w:bottom w:type="dxa" w:w="0"/>
        <w:right w:type="dxa" w:w="108"/>
      </w:tblCellMar>
    </w:tblPr>
    <w:tblStylePr w:type="firstRow">
      <w:rPr>
        <w:rFonts w:asciiTheme="majorHAnsi" w:cstheme="majorBidi" w:eastAsiaTheme="majorEastAsia" w:hAnsiTheme="majorHAnsi"/>
      </w:rPr>
      <w:tblPr/>
      <w:tcPr>
        <w:tcBorders>
          <w:top w:val="nil"/>
          <w:bottom w:color="C0504D" w:space="0" w:sz="8" w:themeColor="accent2" w:val="single"/>
        </w:tcBorders>
      </w:tcPr>
    </w:tblStylePr>
    <w:tblStylePr w:type="lastRow">
      <w:rPr>
        <w:b/>
        <w:bCs/>
        <w:color w:themeColor="text2" w:val="1F497D"/>
      </w:rPr>
      <w:tblPr/>
      <w:tcPr>
        <w:tcBorders>
          <w:top w:color="C0504D" w:space="0" w:sz="8" w:themeColor="accent2" w:val="single"/>
          <w:bottom w:color="C0504D" w:space="0" w:sz="8" w:themeColor="accent2" w:val="single"/>
        </w:tcBorders>
      </w:tcPr>
    </w:tblStylePr>
    <w:tblStylePr w:type="firstCol">
      <w:rPr>
        <w:b/>
        <w:bCs/>
      </w:rPr>
    </w:tblStylePr>
    <w:tblStylePr w:type="lastCol">
      <w:rPr>
        <w:b/>
        <w:bCs/>
      </w:rPr>
      <w:tblPr/>
      <w:tcPr>
        <w:tcBorders>
          <w:top w:color="C0504D" w:space="0" w:sz="8" w:themeColor="accent2" w:val="single"/>
          <w:bottom w:color="C0504D" w:space="0" w:sz="8" w:themeColor="accent2" w:val="single"/>
        </w:tcBorders>
      </w:tcPr>
    </w:tblStylePr>
    <w:tblStylePr w:type="band1Vert">
      <w:tblPr/>
      <w:tcPr>
        <w:shd w:color="auto" w:fill="EFD3D2" w:themeFill="accent2" w:themeFillTint="3F" w:val="clear"/>
      </w:tcPr>
    </w:tblStylePr>
    <w:tblStylePr w:type="band1Horz">
      <w:tblPr/>
      <w:tcPr>
        <w:shd w:color="auto" w:fill="EFD3D2" w:themeFill="accent2" w:themeFillTint="3F" w:val="clear"/>
      </w:tcPr>
    </w:tblStylePr>
  </w:style>
  <w:style w:styleId="MediumList1-Accent3" w:type="table">
    <w:name w:val="Medium List 1 Accent 3"/>
    <w:basedOn w:val="TableNormal"/>
    <w:uiPriority w:val="65"/>
    <w:rsid w:val="00CB0664"/>
    <w:pPr>
      <w:spacing w:after="0" w:line="240" w:lineRule="auto"/>
    </w:pPr>
    <w:rPr>
      <w:color w:themeColor="text1" w:val="000000"/>
    </w:rPr>
    <w:tblPr>
      <w:tblStyleRowBandSize w:val="1"/>
      <w:tblStyleColBandSize w:val="1"/>
      <w:tblInd w:type="dxa" w:w="0"/>
      <w:tblBorders>
        <w:top w:color="9BBB59" w:space="0" w:sz="8" w:themeColor="accent3" w:val="single"/>
        <w:bottom w:color="9BBB59" w:space="0" w:sz="8" w:themeColor="accent3" w:val="single"/>
      </w:tblBorders>
      <w:tblCellMar>
        <w:top w:type="dxa" w:w="0"/>
        <w:left w:type="dxa" w:w="108"/>
        <w:bottom w:type="dxa" w:w="0"/>
        <w:right w:type="dxa" w:w="108"/>
      </w:tblCellMar>
    </w:tblPr>
    <w:tblStylePr w:type="firstRow">
      <w:rPr>
        <w:rFonts w:asciiTheme="majorHAnsi" w:cstheme="majorBidi" w:eastAsiaTheme="majorEastAsia" w:hAnsiTheme="majorHAnsi"/>
      </w:rPr>
      <w:tblPr/>
      <w:tcPr>
        <w:tcBorders>
          <w:top w:val="nil"/>
          <w:bottom w:color="9BBB59" w:space="0" w:sz="8" w:themeColor="accent3" w:val="single"/>
        </w:tcBorders>
      </w:tcPr>
    </w:tblStylePr>
    <w:tblStylePr w:type="lastRow">
      <w:rPr>
        <w:b/>
        <w:bCs/>
        <w:color w:themeColor="text2" w:val="1F497D"/>
      </w:rPr>
      <w:tblPr/>
      <w:tcPr>
        <w:tcBorders>
          <w:top w:color="9BBB59" w:space="0" w:sz="8" w:themeColor="accent3" w:val="single"/>
          <w:bottom w:color="9BBB59" w:space="0" w:sz="8" w:themeColor="accent3" w:val="single"/>
        </w:tcBorders>
      </w:tcPr>
    </w:tblStylePr>
    <w:tblStylePr w:type="firstCol">
      <w:rPr>
        <w:b/>
        <w:bCs/>
      </w:rPr>
    </w:tblStylePr>
    <w:tblStylePr w:type="lastCol">
      <w:rPr>
        <w:b/>
        <w:bCs/>
      </w:rPr>
      <w:tblPr/>
      <w:tcPr>
        <w:tcBorders>
          <w:top w:color="9BBB59" w:space="0" w:sz="8" w:themeColor="accent3" w:val="single"/>
          <w:bottom w:color="9BBB59" w:space="0" w:sz="8" w:themeColor="accent3" w:val="single"/>
        </w:tcBorders>
      </w:tcPr>
    </w:tblStylePr>
    <w:tblStylePr w:type="band1Vert">
      <w:tblPr/>
      <w:tcPr>
        <w:shd w:color="auto" w:fill="E6EED5" w:themeFill="accent3" w:themeFillTint="3F" w:val="clear"/>
      </w:tcPr>
    </w:tblStylePr>
    <w:tblStylePr w:type="band1Horz">
      <w:tblPr/>
      <w:tcPr>
        <w:shd w:color="auto" w:fill="E6EED5" w:themeFill="accent3" w:themeFillTint="3F" w:val="clear"/>
      </w:tcPr>
    </w:tblStylePr>
  </w:style>
  <w:style w:styleId="MediumList1-Accent4" w:type="table">
    <w:name w:val="Medium List 1 Accent 4"/>
    <w:basedOn w:val="TableNormal"/>
    <w:uiPriority w:val="65"/>
    <w:rsid w:val="00CB0664"/>
    <w:pPr>
      <w:spacing w:after="0" w:line="240" w:lineRule="auto"/>
    </w:pPr>
    <w:rPr>
      <w:color w:themeColor="text1" w:val="000000"/>
    </w:rPr>
    <w:tblPr>
      <w:tblStyleRowBandSize w:val="1"/>
      <w:tblStyleColBandSize w:val="1"/>
      <w:tblInd w:type="dxa" w:w="0"/>
      <w:tblBorders>
        <w:top w:color="8064A2" w:space="0" w:sz="8" w:themeColor="accent4" w:val="single"/>
        <w:bottom w:color="8064A2" w:space="0" w:sz="8" w:themeColor="accent4" w:val="single"/>
      </w:tblBorders>
      <w:tblCellMar>
        <w:top w:type="dxa" w:w="0"/>
        <w:left w:type="dxa" w:w="108"/>
        <w:bottom w:type="dxa" w:w="0"/>
        <w:right w:type="dxa" w:w="108"/>
      </w:tblCellMar>
    </w:tblPr>
    <w:tblStylePr w:type="firstRow">
      <w:rPr>
        <w:rFonts w:asciiTheme="majorHAnsi" w:cstheme="majorBidi" w:eastAsiaTheme="majorEastAsia" w:hAnsiTheme="majorHAnsi"/>
      </w:rPr>
      <w:tblPr/>
      <w:tcPr>
        <w:tcBorders>
          <w:top w:val="nil"/>
          <w:bottom w:color="8064A2" w:space="0" w:sz="8" w:themeColor="accent4" w:val="single"/>
        </w:tcBorders>
      </w:tcPr>
    </w:tblStylePr>
    <w:tblStylePr w:type="lastRow">
      <w:rPr>
        <w:b/>
        <w:bCs/>
        <w:color w:themeColor="text2" w:val="1F497D"/>
      </w:rPr>
      <w:tblPr/>
      <w:tcPr>
        <w:tcBorders>
          <w:top w:color="8064A2" w:space="0" w:sz="8" w:themeColor="accent4" w:val="single"/>
          <w:bottom w:color="8064A2" w:space="0" w:sz="8" w:themeColor="accent4" w:val="single"/>
        </w:tcBorders>
      </w:tcPr>
    </w:tblStylePr>
    <w:tblStylePr w:type="firstCol">
      <w:rPr>
        <w:b/>
        <w:bCs/>
      </w:rPr>
    </w:tblStylePr>
    <w:tblStylePr w:type="lastCol">
      <w:rPr>
        <w:b/>
        <w:bCs/>
      </w:rPr>
      <w:tblPr/>
      <w:tcPr>
        <w:tcBorders>
          <w:top w:color="8064A2" w:space="0" w:sz="8" w:themeColor="accent4" w:val="single"/>
          <w:bottom w:color="8064A2" w:space="0" w:sz="8" w:themeColor="accent4" w:val="single"/>
        </w:tcBorders>
      </w:tcPr>
    </w:tblStylePr>
    <w:tblStylePr w:type="band1Vert">
      <w:tblPr/>
      <w:tcPr>
        <w:shd w:color="auto" w:fill="DFD8E8" w:themeFill="accent4" w:themeFillTint="3F" w:val="clear"/>
      </w:tcPr>
    </w:tblStylePr>
    <w:tblStylePr w:type="band1Horz">
      <w:tblPr/>
      <w:tcPr>
        <w:shd w:color="auto" w:fill="DFD8E8" w:themeFill="accent4" w:themeFillTint="3F" w:val="clear"/>
      </w:tcPr>
    </w:tblStylePr>
  </w:style>
  <w:style w:styleId="MediumList1-Accent5" w:type="table">
    <w:name w:val="Medium List 1 Accent 5"/>
    <w:basedOn w:val="TableNormal"/>
    <w:uiPriority w:val="65"/>
    <w:rsid w:val="00CB0664"/>
    <w:pPr>
      <w:spacing w:after="0" w:line="240" w:lineRule="auto"/>
    </w:pPr>
    <w:rPr>
      <w:color w:themeColor="text1" w:val="000000"/>
    </w:rPr>
    <w:tblPr>
      <w:tblStyleRowBandSize w:val="1"/>
      <w:tblStyleColBandSize w:val="1"/>
      <w:tblInd w:type="dxa" w:w="0"/>
      <w:tblBorders>
        <w:top w:color="4BACC6" w:space="0" w:sz="8" w:themeColor="accent5" w:val="single"/>
        <w:bottom w:color="4BACC6" w:space="0" w:sz="8" w:themeColor="accent5" w:val="single"/>
      </w:tblBorders>
      <w:tblCellMar>
        <w:top w:type="dxa" w:w="0"/>
        <w:left w:type="dxa" w:w="108"/>
        <w:bottom w:type="dxa" w:w="0"/>
        <w:right w:type="dxa" w:w="108"/>
      </w:tblCellMar>
    </w:tblPr>
    <w:tblStylePr w:type="firstRow">
      <w:rPr>
        <w:rFonts w:asciiTheme="majorHAnsi" w:cstheme="majorBidi" w:eastAsiaTheme="majorEastAsia" w:hAnsiTheme="majorHAnsi"/>
      </w:rPr>
      <w:tblPr/>
      <w:tcPr>
        <w:tcBorders>
          <w:top w:val="nil"/>
          <w:bottom w:color="4BACC6" w:space="0" w:sz="8" w:themeColor="accent5" w:val="single"/>
        </w:tcBorders>
      </w:tcPr>
    </w:tblStylePr>
    <w:tblStylePr w:type="lastRow">
      <w:rPr>
        <w:b/>
        <w:bCs/>
        <w:color w:themeColor="text2" w:val="1F497D"/>
      </w:rPr>
      <w:tblPr/>
      <w:tcPr>
        <w:tcBorders>
          <w:top w:color="4BACC6" w:space="0" w:sz="8" w:themeColor="accent5" w:val="single"/>
          <w:bottom w:color="4BACC6" w:space="0" w:sz="8" w:themeColor="accent5" w:val="single"/>
        </w:tcBorders>
      </w:tcPr>
    </w:tblStylePr>
    <w:tblStylePr w:type="firstCol">
      <w:rPr>
        <w:b/>
        <w:bCs/>
      </w:rPr>
    </w:tblStylePr>
    <w:tblStylePr w:type="lastCol">
      <w:rPr>
        <w:b/>
        <w:bCs/>
      </w:rPr>
      <w:tblPr/>
      <w:tcPr>
        <w:tcBorders>
          <w:top w:color="4BACC6" w:space="0" w:sz="8" w:themeColor="accent5" w:val="single"/>
          <w:bottom w:color="4BACC6" w:space="0" w:sz="8" w:themeColor="accent5" w:val="single"/>
        </w:tcBorders>
      </w:tcPr>
    </w:tblStylePr>
    <w:tblStylePr w:type="band1Vert">
      <w:tblPr/>
      <w:tcPr>
        <w:shd w:color="auto" w:fill="D2EAF1" w:themeFill="accent5" w:themeFillTint="3F" w:val="clear"/>
      </w:tcPr>
    </w:tblStylePr>
    <w:tblStylePr w:type="band1Horz">
      <w:tblPr/>
      <w:tcPr>
        <w:shd w:color="auto" w:fill="D2EAF1" w:themeFill="accent5" w:themeFillTint="3F" w:val="clear"/>
      </w:tcPr>
    </w:tblStylePr>
  </w:style>
  <w:style w:styleId="MediumList1-Accent6" w:type="table">
    <w:name w:val="Medium List 1 Accent 6"/>
    <w:basedOn w:val="TableNormal"/>
    <w:uiPriority w:val="65"/>
    <w:rsid w:val="00CB0664"/>
    <w:pPr>
      <w:spacing w:after="0" w:line="240" w:lineRule="auto"/>
    </w:pPr>
    <w:rPr>
      <w:color w:themeColor="text1" w:val="000000"/>
    </w:rPr>
    <w:tblPr>
      <w:tblStyleRowBandSize w:val="1"/>
      <w:tblStyleColBandSize w:val="1"/>
      <w:tblInd w:type="dxa" w:w="0"/>
      <w:tblBorders>
        <w:top w:color="F79646" w:space="0" w:sz="8" w:themeColor="accent6" w:val="single"/>
        <w:bottom w:color="F79646" w:space="0" w:sz="8" w:themeColor="accent6" w:val="single"/>
      </w:tblBorders>
      <w:tblCellMar>
        <w:top w:type="dxa" w:w="0"/>
        <w:left w:type="dxa" w:w="108"/>
        <w:bottom w:type="dxa" w:w="0"/>
        <w:right w:type="dxa" w:w="108"/>
      </w:tblCellMar>
    </w:tblPr>
    <w:tblStylePr w:type="firstRow">
      <w:rPr>
        <w:rFonts w:asciiTheme="majorHAnsi" w:cstheme="majorBidi" w:eastAsiaTheme="majorEastAsia" w:hAnsiTheme="majorHAnsi"/>
      </w:rPr>
      <w:tblPr/>
      <w:tcPr>
        <w:tcBorders>
          <w:top w:val="nil"/>
          <w:bottom w:color="F79646" w:space="0" w:sz="8" w:themeColor="accent6" w:val="single"/>
        </w:tcBorders>
      </w:tcPr>
    </w:tblStylePr>
    <w:tblStylePr w:type="lastRow">
      <w:rPr>
        <w:b/>
        <w:bCs/>
        <w:color w:themeColor="text2" w:val="1F497D"/>
      </w:rPr>
      <w:tblPr/>
      <w:tcPr>
        <w:tcBorders>
          <w:top w:color="F79646" w:space="0" w:sz="8" w:themeColor="accent6" w:val="single"/>
          <w:bottom w:color="F79646" w:space="0" w:sz="8" w:themeColor="accent6" w:val="single"/>
        </w:tcBorders>
      </w:tcPr>
    </w:tblStylePr>
    <w:tblStylePr w:type="firstCol">
      <w:rPr>
        <w:b/>
        <w:bCs/>
      </w:rPr>
    </w:tblStylePr>
    <w:tblStylePr w:type="lastCol">
      <w:rPr>
        <w:b/>
        <w:bCs/>
      </w:rPr>
      <w:tblPr/>
      <w:tcPr>
        <w:tcBorders>
          <w:top w:color="F79646" w:space="0" w:sz="8" w:themeColor="accent6" w:val="single"/>
          <w:bottom w:color="F79646" w:space="0" w:sz="8" w:themeColor="accent6" w:val="single"/>
        </w:tcBorders>
      </w:tcPr>
    </w:tblStylePr>
    <w:tblStylePr w:type="band1Vert">
      <w:tblPr/>
      <w:tcPr>
        <w:shd w:color="auto" w:fill="FDE4D0" w:themeFill="accent6" w:themeFillTint="3F" w:val="clear"/>
      </w:tcPr>
    </w:tblStylePr>
    <w:tblStylePr w:type="band1Horz">
      <w:tblPr/>
      <w:tcPr>
        <w:shd w:color="auto" w:fill="FDE4D0" w:themeFill="accent6" w:themeFillTint="3F" w:val="clear"/>
      </w:tcPr>
    </w:tblStylePr>
  </w:style>
  <w:style w:styleId="MediumList2" w:type="table">
    <w:name w:val="Medium List 2"/>
    <w:basedOn w:val="Table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000000" w:space="0" w:sz="8" w:themeColor="text1" w:val="single"/>
        <w:left w:color="000000" w:space="0" w:sz="8" w:themeColor="text1" w:val="single"/>
        <w:bottom w:color="000000" w:space="0" w:sz="8" w:themeColor="text1" w:val="single"/>
        <w:right w:color="000000" w:space="0" w:sz="8" w:themeColor="text1" w:val="single"/>
      </w:tblBorders>
      <w:tblCellMar>
        <w:top w:type="dxa" w:w="0"/>
        <w:left w:type="dxa" w:w="108"/>
        <w:bottom w:type="dxa" w:w="0"/>
        <w:right w:type="dxa" w:w="108"/>
      </w:tblCellMar>
    </w:tblPr>
    <w:tblStylePr w:type="firstRow">
      <w:rPr>
        <w:sz w:val="24"/>
        <w:szCs w:val="24"/>
      </w:rPr>
      <w:tblPr/>
      <w:tcPr>
        <w:tcBorders>
          <w:top w:val="nil"/>
          <w:left w:val="nil"/>
          <w:bottom w:color="000000" w:space="0" w:sz="24" w:themeColor="text1" w:val="single"/>
          <w:right w:val="nil"/>
          <w:insideH w:val="nil"/>
          <w:insideV w:val="nil"/>
        </w:tcBorders>
        <w:shd w:color="auto" w:fill="FFFFFF" w:themeFill="background1" w:val="clear"/>
      </w:tcPr>
    </w:tblStylePr>
    <w:tblStylePr w:type="lastRow">
      <w:tblPr/>
      <w:tcPr>
        <w:tcBorders>
          <w:top w:color="000000" w:space="0" w:sz="8" w:themeColor="text1"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000000" w:space="0" w:sz="8" w:themeColor="text1" w:val="single"/>
          <w:insideH w:val="nil"/>
          <w:insideV w:val="nil"/>
        </w:tcBorders>
        <w:shd w:color="auto" w:fill="FFFFFF" w:themeFill="background1" w:val="clear"/>
      </w:tcPr>
    </w:tblStylePr>
    <w:tblStylePr w:type="lastCol">
      <w:tblPr/>
      <w:tcPr>
        <w:tcBorders>
          <w:top w:val="nil"/>
          <w:left w:color="000000" w:space="0" w:sz="8" w:themeColor="text1"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C0C0C0" w:themeFill="text1" w:themeFillTint="3F" w:val="clear"/>
      </w:tcPr>
    </w:tblStylePr>
    <w:tblStylePr w:type="band1Horz">
      <w:tblPr/>
      <w:tcPr>
        <w:tcBorders>
          <w:top w:val="nil"/>
          <w:bottom w:val="nil"/>
          <w:insideH w:val="nil"/>
          <w:insideV w:val="nil"/>
        </w:tcBorders>
        <w:shd w:color="auto" w:fill="C0C0C0" w:themeFill="text1" w:themeFillTint="3F" w:val="clear"/>
      </w:tcPr>
    </w:tblStylePr>
    <w:tblStylePr w:type="nwCell">
      <w:tblPr/>
      <w:tcPr>
        <w:shd w:color="auto" w:fill="FFFFFF" w:themeFill="background1" w:val="clear"/>
      </w:tcPr>
    </w:tblStylePr>
    <w:tblStylePr w:type="swCell">
      <w:tblPr/>
      <w:tcPr>
        <w:tcBorders>
          <w:top w:val="nil"/>
        </w:tcBorders>
      </w:tcPr>
    </w:tblStylePr>
  </w:style>
  <w:style w:styleId="MediumList2-Accent1" w:type="table">
    <w:name w:val="Medium List 2 Accent 1"/>
    <w:basedOn w:val="Table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4F81BD" w:space="0" w:sz="8" w:themeColor="accent1" w:val="single"/>
        <w:left w:color="4F81BD" w:space="0" w:sz="8" w:themeColor="accent1" w:val="single"/>
        <w:bottom w:color="4F81BD" w:space="0" w:sz="8" w:themeColor="accent1" w:val="single"/>
        <w:right w:color="4F81BD" w:space="0" w:sz="8" w:themeColor="accent1" w:val="single"/>
      </w:tblBorders>
      <w:tblCellMar>
        <w:top w:type="dxa" w:w="0"/>
        <w:left w:type="dxa" w:w="108"/>
        <w:bottom w:type="dxa" w:w="0"/>
        <w:right w:type="dxa" w:w="108"/>
      </w:tblCellMar>
    </w:tblPr>
    <w:tblStylePr w:type="firstRow">
      <w:rPr>
        <w:sz w:val="24"/>
        <w:szCs w:val="24"/>
      </w:rPr>
      <w:tblPr/>
      <w:tcPr>
        <w:tcBorders>
          <w:top w:val="nil"/>
          <w:left w:val="nil"/>
          <w:bottom w:color="4F81BD" w:space="0" w:sz="24" w:themeColor="accent1" w:val="single"/>
          <w:right w:val="nil"/>
          <w:insideH w:val="nil"/>
          <w:insideV w:val="nil"/>
        </w:tcBorders>
        <w:shd w:color="auto" w:fill="FFFFFF" w:themeFill="background1" w:val="clear"/>
      </w:tcPr>
    </w:tblStylePr>
    <w:tblStylePr w:type="lastRow">
      <w:tblPr/>
      <w:tcPr>
        <w:tcBorders>
          <w:top w:color="4F81BD" w:space="0" w:sz="8" w:themeColor="accent1"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4F81BD" w:space="0" w:sz="8" w:themeColor="accent1" w:val="single"/>
          <w:insideH w:val="nil"/>
          <w:insideV w:val="nil"/>
        </w:tcBorders>
        <w:shd w:color="auto" w:fill="FFFFFF" w:themeFill="background1" w:val="clear"/>
      </w:tcPr>
    </w:tblStylePr>
    <w:tblStylePr w:type="lastCol">
      <w:tblPr/>
      <w:tcPr>
        <w:tcBorders>
          <w:top w:val="nil"/>
          <w:left w:color="4F81BD" w:space="0" w:sz="8" w:themeColor="accent1"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D3DFEE" w:themeFill="accent1" w:themeFillTint="3F" w:val="clear"/>
      </w:tcPr>
    </w:tblStylePr>
    <w:tblStylePr w:type="band1Horz">
      <w:tblPr/>
      <w:tcPr>
        <w:tcBorders>
          <w:top w:val="nil"/>
          <w:bottom w:val="nil"/>
          <w:insideH w:val="nil"/>
          <w:insideV w:val="nil"/>
        </w:tcBorders>
        <w:shd w:color="auto" w:fill="D3DFEE" w:themeFill="accent1" w:themeFillTint="3F" w:val="clear"/>
      </w:tcPr>
    </w:tblStylePr>
    <w:tblStylePr w:type="nwCell">
      <w:tblPr/>
      <w:tcPr>
        <w:shd w:color="auto" w:fill="FFFFFF" w:themeFill="background1" w:val="clear"/>
      </w:tcPr>
    </w:tblStylePr>
    <w:tblStylePr w:type="swCell">
      <w:tblPr/>
      <w:tcPr>
        <w:tcBorders>
          <w:top w:val="nil"/>
        </w:tcBorders>
      </w:tcPr>
    </w:tblStylePr>
  </w:style>
  <w:style w:styleId="MediumList2-Accent2" w:type="table">
    <w:name w:val="Medium List 2 Accent 2"/>
    <w:basedOn w:val="Table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C0504D" w:space="0" w:sz="8" w:themeColor="accent2" w:val="single"/>
        <w:left w:color="C0504D" w:space="0" w:sz="8" w:themeColor="accent2" w:val="single"/>
        <w:bottom w:color="C0504D" w:space="0" w:sz="8" w:themeColor="accent2" w:val="single"/>
        <w:right w:color="C0504D" w:space="0" w:sz="8" w:themeColor="accent2" w:val="single"/>
      </w:tblBorders>
      <w:tblCellMar>
        <w:top w:type="dxa" w:w="0"/>
        <w:left w:type="dxa" w:w="108"/>
        <w:bottom w:type="dxa" w:w="0"/>
        <w:right w:type="dxa" w:w="108"/>
      </w:tblCellMar>
    </w:tblPr>
    <w:tblStylePr w:type="firstRow">
      <w:rPr>
        <w:sz w:val="24"/>
        <w:szCs w:val="24"/>
      </w:rPr>
      <w:tblPr/>
      <w:tcPr>
        <w:tcBorders>
          <w:top w:val="nil"/>
          <w:left w:val="nil"/>
          <w:bottom w:color="C0504D" w:space="0" w:sz="24" w:themeColor="accent2" w:val="single"/>
          <w:right w:val="nil"/>
          <w:insideH w:val="nil"/>
          <w:insideV w:val="nil"/>
        </w:tcBorders>
        <w:shd w:color="auto" w:fill="FFFFFF" w:themeFill="background1" w:val="clear"/>
      </w:tcPr>
    </w:tblStylePr>
    <w:tblStylePr w:type="lastRow">
      <w:tblPr/>
      <w:tcPr>
        <w:tcBorders>
          <w:top w:color="C0504D" w:space="0" w:sz="8" w:themeColor="accent2"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C0504D" w:space="0" w:sz="8" w:themeColor="accent2" w:val="single"/>
          <w:insideH w:val="nil"/>
          <w:insideV w:val="nil"/>
        </w:tcBorders>
        <w:shd w:color="auto" w:fill="FFFFFF" w:themeFill="background1" w:val="clear"/>
      </w:tcPr>
    </w:tblStylePr>
    <w:tblStylePr w:type="lastCol">
      <w:tblPr/>
      <w:tcPr>
        <w:tcBorders>
          <w:top w:val="nil"/>
          <w:left w:color="C0504D" w:space="0" w:sz="8" w:themeColor="accent2"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EFD3D2" w:themeFill="accent2" w:themeFillTint="3F" w:val="clear"/>
      </w:tcPr>
    </w:tblStylePr>
    <w:tblStylePr w:type="band1Horz">
      <w:tblPr/>
      <w:tcPr>
        <w:tcBorders>
          <w:top w:val="nil"/>
          <w:bottom w:val="nil"/>
          <w:insideH w:val="nil"/>
          <w:insideV w:val="nil"/>
        </w:tcBorders>
        <w:shd w:color="auto" w:fill="EFD3D2" w:themeFill="accent2" w:themeFillTint="3F" w:val="clear"/>
      </w:tcPr>
    </w:tblStylePr>
    <w:tblStylePr w:type="nwCell">
      <w:tblPr/>
      <w:tcPr>
        <w:shd w:color="auto" w:fill="FFFFFF" w:themeFill="background1" w:val="clear"/>
      </w:tcPr>
    </w:tblStylePr>
    <w:tblStylePr w:type="swCell">
      <w:tblPr/>
      <w:tcPr>
        <w:tcBorders>
          <w:top w:val="nil"/>
        </w:tcBorders>
      </w:tcPr>
    </w:tblStylePr>
  </w:style>
  <w:style w:styleId="MediumList2-Accent3" w:type="table">
    <w:name w:val="Medium List 2 Accent 3"/>
    <w:basedOn w:val="Table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9BBB59" w:space="0" w:sz="8" w:themeColor="accent3" w:val="single"/>
        <w:left w:color="9BBB59" w:space="0" w:sz="8" w:themeColor="accent3" w:val="single"/>
        <w:bottom w:color="9BBB59" w:space="0" w:sz="8" w:themeColor="accent3" w:val="single"/>
        <w:right w:color="9BBB59" w:space="0" w:sz="8" w:themeColor="accent3" w:val="single"/>
      </w:tblBorders>
      <w:tblCellMar>
        <w:top w:type="dxa" w:w="0"/>
        <w:left w:type="dxa" w:w="108"/>
        <w:bottom w:type="dxa" w:w="0"/>
        <w:right w:type="dxa" w:w="108"/>
      </w:tblCellMar>
    </w:tblPr>
    <w:tblStylePr w:type="firstRow">
      <w:rPr>
        <w:sz w:val="24"/>
        <w:szCs w:val="24"/>
      </w:rPr>
      <w:tblPr/>
      <w:tcPr>
        <w:tcBorders>
          <w:top w:val="nil"/>
          <w:left w:val="nil"/>
          <w:bottom w:color="9BBB59" w:space="0" w:sz="24" w:themeColor="accent3" w:val="single"/>
          <w:right w:val="nil"/>
          <w:insideH w:val="nil"/>
          <w:insideV w:val="nil"/>
        </w:tcBorders>
        <w:shd w:color="auto" w:fill="FFFFFF" w:themeFill="background1" w:val="clear"/>
      </w:tcPr>
    </w:tblStylePr>
    <w:tblStylePr w:type="lastRow">
      <w:tblPr/>
      <w:tcPr>
        <w:tcBorders>
          <w:top w:color="9BBB59" w:space="0" w:sz="8" w:themeColor="accent3"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9BBB59" w:space="0" w:sz="8" w:themeColor="accent3" w:val="single"/>
          <w:insideH w:val="nil"/>
          <w:insideV w:val="nil"/>
        </w:tcBorders>
        <w:shd w:color="auto" w:fill="FFFFFF" w:themeFill="background1" w:val="clear"/>
      </w:tcPr>
    </w:tblStylePr>
    <w:tblStylePr w:type="lastCol">
      <w:tblPr/>
      <w:tcPr>
        <w:tcBorders>
          <w:top w:val="nil"/>
          <w:left w:color="9BBB59" w:space="0" w:sz="8" w:themeColor="accent3"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E6EED5" w:themeFill="accent3" w:themeFillTint="3F" w:val="clear"/>
      </w:tcPr>
    </w:tblStylePr>
    <w:tblStylePr w:type="band1Horz">
      <w:tblPr/>
      <w:tcPr>
        <w:tcBorders>
          <w:top w:val="nil"/>
          <w:bottom w:val="nil"/>
          <w:insideH w:val="nil"/>
          <w:insideV w:val="nil"/>
        </w:tcBorders>
        <w:shd w:color="auto" w:fill="E6EED5" w:themeFill="accent3" w:themeFillTint="3F" w:val="clear"/>
      </w:tcPr>
    </w:tblStylePr>
    <w:tblStylePr w:type="nwCell">
      <w:tblPr/>
      <w:tcPr>
        <w:shd w:color="auto" w:fill="FFFFFF" w:themeFill="background1" w:val="clear"/>
      </w:tcPr>
    </w:tblStylePr>
    <w:tblStylePr w:type="swCell">
      <w:tblPr/>
      <w:tcPr>
        <w:tcBorders>
          <w:top w:val="nil"/>
        </w:tcBorders>
      </w:tcPr>
    </w:tblStylePr>
  </w:style>
  <w:style w:styleId="MediumList2-Accent4" w:type="table">
    <w:name w:val="Medium List 2 Accent 4"/>
    <w:basedOn w:val="Table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8064A2" w:space="0" w:sz="8" w:themeColor="accent4" w:val="single"/>
        <w:left w:color="8064A2" w:space="0" w:sz="8" w:themeColor="accent4" w:val="single"/>
        <w:bottom w:color="8064A2" w:space="0" w:sz="8" w:themeColor="accent4" w:val="single"/>
        <w:right w:color="8064A2" w:space="0" w:sz="8" w:themeColor="accent4" w:val="single"/>
      </w:tblBorders>
      <w:tblCellMar>
        <w:top w:type="dxa" w:w="0"/>
        <w:left w:type="dxa" w:w="108"/>
        <w:bottom w:type="dxa" w:w="0"/>
        <w:right w:type="dxa" w:w="108"/>
      </w:tblCellMar>
    </w:tblPr>
    <w:tblStylePr w:type="firstRow">
      <w:rPr>
        <w:sz w:val="24"/>
        <w:szCs w:val="24"/>
      </w:rPr>
      <w:tblPr/>
      <w:tcPr>
        <w:tcBorders>
          <w:top w:val="nil"/>
          <w:left w:val="nil"/>
          <w:bottom w:color="8064A2" w:space="0" w:sz="24" w:themeColor="accent4" w:val="single"/>
          <w:right w:val="nil"/>
          <w:insideH w:val="nil"/>
          <w:insideV w:val="nil"/>
        </w:tcBorders>
        <w:shd w:color="auto" w:fill="FFFFFF" w:themeFill="background1" w:val="clear"/>
      </w:tcPr>
    </w:tblStylePr>
    <w:tblStylePr w:type="lastRow">
      <w:tblPr/>
      <w:tcPr>
        <w:tcBorders>
          <w:top w:color="8064A2" w:space="0" w:sz="8" w:themeColor="accent4"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8064A2" w:space="0" w:sz="8" w:themeColor="accent4" w:val="single"/>
          <w:insideH w:val="nil"/>
          <w:insideV w:val="nil"/>
        </w:tcBorders>
        <w:shd w:color="auto" w:fill="FFFFFF" w:themeFill="background1" w:val="clear"/>
      </w:tcPr>
    </w:tblStylePr>
    <w:tblStylePr w:type="lastCol">
      <w:tblPr/>
      <w:tcPr>
        <w:tcBorders>
          <w:top w:val="nil"/>
          <w:left w:color="8064A2" w:space="0" w:sz="8" w:themeColor="accent4"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DFD8E8" w:themeFill="accent4" w:themeFillTint="3F" w:val="clear"/>
      </w:tcPr>
    </w:tblStylePr>
    <w:tblStylePr w:type="band1Horz">
      <w:tblPr/>
      <w:tcPr>
        <w:tcBorders>
          <w:top w:val="nil"/>
          <w:bottom w:val="nil"/>
          <w:insideH w:val="nil"/>
          <w:insideV w:val="nil"/>
        </w:tcBorders>
        <w:shd w:color="auto" w:fill="DFD8E8" w:themeFill="accent4" w:themeFillTint="3F" w:val="clear"/>
      </w:tcPr>
    </w:tblStylePr>
    <w:tblStylePr w:type="nwCell">
      <w:tblPr/>
      <w:tcPr>
        <w:shd w:color="auto" w:fill="FFFFFF" w:themeFill="background1" w:val="clear"/>
      </w:tcPr>
    </w:tblStylePr>
    <w:tblStylePr w:type="swCell">
      <w:tblPr/>
      <w:tcPr>
        <w:tcBorders>
          <w:top w:val="nil"/>
        </w:tcBorders>
      </w:tcPr>
    </w:tblStylePr>
  </w:style>
  <w:style w:styleId="MediumList2-Accent5" w:type="table">
    <w:name w:val="Medium List 2 Accent 5"/>
    <w:basedOn w:val="Table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4BACC6" w:space="0" w:sz="8" w:themeColor="accent5" w:val="single"/>
        <w:left w:color="4BACC6" w:space="0" w:sz="8" w:themeColor="accent5" w:val="single"/>
        <w:bottom w:color="4BACC6" w:space="0" w:sz="8" w:themeColor="accent5" w:val="single"/>
        <w:right w:color="4BACC6" w:space="0" w:sz="8" w:themeColor="accent5" w:val="single"/>
      </w:tblBorders>
      <w:tblCellMar>
        <w:top w:type="dxa" w:w="0"/>
        <w:left w:type="dxa" w:w="108"/>
        <w:bottom w:type="dxa" w:w="0"/>
        <w:right w:type="dxa" w:w="108"/>
      </w:tblCellMar>
    </w:tblPr>
    <w:tblStylePr w:type="firstRow">
      <w:rPr>
        <w:sz w:val="24"/>
        <w:szCs w:val="24"/>
      </w:rPr>
      <w:tblPr/>
      <w:tcPr>
        <w:tcBorders>
          <w:top w:val="nil"/>
          <w:left w:val="nil"/>
          <w:bottom w:color="4BACC6" w:space="0" w:sz="24" w:themeColor="accent5" w:val="single"/>
          <w:right w:val="nil"/>
          <w:insideH w:val="nil"/>
          <w:insideV w:val="nil"/>
        </w:tcBorders>
        <w:shd w:color="auto" w:fill="FFFFFF" w:themeFill="background1" w:val="clear"/>
      </w:tcPr>
    </w:tblStylePr>
    <w:tblStylePr w:type="lastRow">
      <w:tblPr/>
      <w:tcPr>
        <w:tcBorders>
          <w:top w:color="4BACC6" w:space="0" w:sz="8" w:themeColor="accent5"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4BACC6" w:space="0" w:sz="8" w:themeColor="accent5" w:val="single"/>
          <w:insideH w:val="nil"/>
          <w:insideV w:val="nil"/>
        </w:tcBorders>
        <w:shd w:color="auto" w:fill="FFFFFF" w:themeFill="background1" w:val="clear"/>
      </w:tcPr>
    </w:tblStylePr>
    <w:tblStylePr w:type="lastCol">
      <w:tblPr/>
      <w:tcPr>
        <w:tcBorders>
          <w:top w:val="nil"/>
          <w:left w:color="4BACC6" w:space="0" w:sz="8" w:themeColor="accent5"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D2EAF1" w:themeFill="accent5" w:themeFillTint="3F" w:val="clear"/>
      </w:tcPr>
    </w:tblStylePr>
    <w:tblStylePr w:type="band1Horz">
      <w:tblPr/>
      <w:tcPr>
        <w:tcBorders>
          <w:top w:val="nil"/>
          <w:bottom w:val="nil"/>
          <w:insideH w:val="nil"/>
          <w:insideV w:val="nil"/>
        </w:tcBorders>
        <w:shd w:color="auto" w:fill="D2EAF1" w:themeFill="accent5" w:themeFillTint="3F" w:val="clear"/>
      </w:tcPr>
    </w:tblStylePr>
    <w:tblStylePr w:type="nwCell">
      <w:tblPr/>
      <w:tcPr>
        <w:shd w:color="auto" w:fill="FFFFFF" w:themeFill="background1" w:val="clear"/>
      </w:tcPr>
    </w:tblStylePr>
    <w:tblStylePr w:type="swCell">
      <w:tblPr/>
      <w:tcPr>
        <w:tcBorders>
          <w:top w:val="nil"/>
        </w:tcBorders>
      </w:tcPr>
    </w:tblStylePr>
  </w:style>
  <w:style w:styleId="MediumList2-Accent6" w:type="table">
    <w:name w:val="Medium List 2 Accent 6"/>
    <w:basedOn w:val="Table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F79646" w:space="0" w:sz="8" w:themeColor="accent6" w:val="single"/>
        <w:left w:color="F79646" w:space="0" w:sz="8" w:themeColor="accent6" w:val="single"/>
        <w:bottom w:color="F79646" w:space="0" w:sz="8" w:themeColor="accent6" w:val="single"/>
        <w:right w:color="F79646" w:space="0" w:sz="8" w:themeColor="accent6" w:val="single"/>
      </w:tblBorders>
      <w:tblCellMar>
        <w:top w:type="dxa" w:w="0"/>
        <w:left w:type="dxa" w:w="108"/>
        <w:bottom w:type="dxa" w:w="0"/>
        <w:right w:type="dxa" w:w="108"/>
      </w:tblCellMar>
    </w:tblPr>
    <w:tblStylePr w:type="firstRow">
      <w:rPr>
        <w:sz w:val="24"/>
        <w:szCs w:val="24"/>
      </w:rPr>
      <w:tblPr/>
      <w:tcPr>
        <w:tcBorders>
          <w:top w:val="nil"/>
          <w:left w:val="nil"/>
          <w:bottom w:color="F79646" w:space="0" w:sz="24" w:themeColor="accent6" w:val="single"/>
          <w:right w:val="nil"/>
          <w:insideH w:val="nil"/>
          <w:insideV w:val="nil"/>
        </w:tcBorders>
        <w:shd w:color="auto" w:fill="FFFFFF" w:themeFill="background1" w:val="clear"/>
      </w:tcPr>
    </w:tblStylePr>
    <w:tblStylePr w:type="lastRow">
      <w:tblPr/>
      <w:tcPr>
        <w:tcBorders>
          <w:top w:color="F79646" w:space="0" w:sz="8" w:themeColor="accent6"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F79646" w:space="0" w:sz="8" w:themeColor="accent6" w:val="single"/>
          <w:insideH w:val="nil"/>
          <w:insideV w:val="nil"/>
        </w:tcBorders>
        <w:shd w:color="auto" w:fill="FFFFFF" w:themeFill="background1" w:val="clear"/>
      </w:tcPr>
    </w:tblStylePr>
    <w:tblStylePr w:type="lastCol">
      <w:tblPr/>
      <w:tcPr>
        <w:tcBorders>
          <w:top w:val="nil"/>
          <w:left w:color="F79646" w:space="0" w:sz="8" w:themeColor="accent6"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FDE4D0" w:themeFill="accent6" w:themeFillTint="3F" w:val="clear"/>
      </w:tcPr>
    </w:tblStylePr>
    <w:tblStylePr w:type="band1Horz">
      <w:tblPr/>
      <w:tcPr>
        <w:tcBorders>
          <w:top w:val="nil"/>
          <w:bottom w:val="nil"/>
          <w:insideH w:val="nil"/>
          <w:insideV w:val="nil"/>
        </w:tcBorders>
        <w:shd w:color="auto" w:fill="FDE4D0" w:themeFill="accent6" w:themeFillTint="3F" w:val="clear"/>
      </w:tcPr>
    </w:tblStylePr>
    <w:tblStylePr w:type="nwCell">
      <w:tblPr/>
      <w:tcPr>
        <w:shd w:color="auto" w:fill="FFFFFF" w:themeFill="background1" w:val="clear"/>
      </w:tcPr>
    </w:tblStylePr>
    <w:tblStylePr w:type="swCell">
      <w:tblPr/>
      <w:tcPr>
        <w:tcBorders>
          <w:top w:val="nil"/>
        </w:tcBorders>
      </w:tcPr>
    </w:tblStylePr>
  </w:style>
  <w:style w:styleId="MediumGrid1" w:type="table">
    <w:name w:val="Medium Grid 1"/>
    <w:basedOn w:val="TableNormal"/>
    <w:uiPriority w:val="67"/>
    <w:rsid w:val="00CB0664"/>
    <w:pPr>
      <w:spacing w:after="0" w:line="240" w:lineRule="auto"/>
    </w:pPr>
    <w:tblPr>
      <w:tblStyleRowBandSize w:val="1"/>
      <w:tblStyleColBandSize w:val="1"/>
      <w:tblInd w:type="dxa" w:w="0"/>
      <w:tblBorders>
        <w:top w:color="404040" w:space="0" w:sz="8" w:themeColor="text1" w:themeTint="BF" w:val="single"/>
        <w:left w:color="404040" w:space="0" w:sz="8" w:themeColor="text1" w:themeTint="BF" w:val="single"/>
        <w:bottom w:color="404040" w:space="0" w:sz="8" w:themeColor="text1" w:themeTint="BF" w:val="single"/>
        <w:right w:color="404040" w:space="0" w:sz="8" w:themeColor="text1" w:themeTint="BF" w:val="single"/>
        <w:insideH w:color="404040" w:space="0" w:sz="8" w:themeColor="text1" w:themeTint="BF" w:val="single"/>
        <w:insideV w:color="404040" w:space="0" w:sz="8" w:themeColor="text1" w:themeTint="BF" w:val="single"/>
      </w:tblBorders>
      <w:tblCellMar>
        <w:top w:type="dxa" w:w="0"/>
        <w:left w:type="dxa" w:w="108"/>
        <w:bottom w:type="dxa" w:w="0"/>
        <w:right w:type="dxa" w:w="108"/>
      </w:tblCellMar>
    </w:tblPr>
    <w:tcPr>
      <w:shd w:color="auto" w:fill="C0C0C0" w:themeFill="text1" w:themeFillTint="3F" w:val="clear"/>
    </w:tcPr>
    <w:tblStylePr w:type="firstRow">
      <w:rPr>
        <w:b/>
        <w:bCs/>
      </w:rPr>
    </w:tblStylePr>
    <w:tblStylePr w:type="lastRow">
      <w:rPr>
        <w:b/>
        <w:bCs/>
      </w:rPr>
      <w:tblPr/>
      <w:tcPr>
        <w:tcBorders>
          <w:top w:color="404040" w:space="0" w:sz="18" w:themeColor="text1" w:themeTint="BF" w:val="single"/>
        </w:tcBorders>
      </w:tcPr>
    </w:tblStylePr>
    <w:tblStylePr w:type="firstCol">
      <w:rPr>
        <w:b/>
        <w:bCs/>
      </w:rPr>
    </w:tblStylePr>
    <w:tblStylePr w:type="lastCol">
      <w:rPr>
        <w:b/>
        <w:bCs/>
      </w:rPr>
    </w:tblStylePr>
    <w:tblStylePr w:type="band1Vert">
      <w:tblPr/>
      <w:tcPr>
        <w:shd w:color="auto" w:fill="808080" w:themeFill="text1" w:themeFillTint="7F" w:val="clear"/>
      </w:tcPr>
    </w:tblStylePr>
    <w:tblStylePr w:type="band1Horz">
      <w:tblPr/>
      <w:tcPr>
        <w:shd w:color="auto" w:fill="808080" w:themeFill="text1" w:themeFillTint="7F" w:val="clear"/>
      </w:tcPr>
    </w:tblStylePr>
  </w:style>
  <w:style w:styleId="MediumGrid1-Accent1" w:type="table">
    <w:name w:val="Medium Grid 1 Accent 1"/>
    <w:basedOn w:val="TableNormal"/>
    <w:uiPriority w:val="67"/>
    <w:rsid w:val="00CB0664"/>
    <w:pPr>
      <w:spacing w:after="0" w:line="240" w:lineRule="auto"/>
    </w:pPr>
    <w:tblPr>
      <w:tblStyleRowBandSize w:val="1"/>
      <w:tblStyleColBandSize w:val="1"/>
      <w:tblInd w:type="dxa" w:w="0"/>
      <w:tblBorders>
        <w:top w:color="7BA0CD" w:space="0" w:sz="8" w:themeColor="accent1" w:themeTint="BF" w:val="single"/>
        <w:left w:color="7BA0CD" w:space="0" w:sz="8" w:themeColor="accent1" w:themeTint="BF" w:val="single"/>
        <w:bottom w:color="7BA0CD" w:space="0" w:sz="8" w:themeColor="accent1" w:themeTint="BF" w:val="single"/>
        <w:right w:color="7BA0CD" w:space="0" w:sz="8" w:themeColor="accent1" w:themeTint="BF" w:val="single"/>
        <w:insideH w:color="7BA0CD" w:space="0" w:sz="8" w:themeColor="accent1" w:themeTint="BF" w:val="single"/>
        <w:insideV w:color="7BA0CD" w:space="0" w:sz="8" w:themeColor="accent1" w:themeTint="BF" w:val="single"/>
      </w:tblBorders>
      <w:tblCellMar>
        <w:top w:type="dxa" w:w="0"/>
        <w:left w:type="dxa" w:w="108"/>
        <w:bottom w:type="dxa" w:w="0"/>
        <w:right w:type="dxa" w:w="108"/>
      </w:tblCellMar>
    </w:tblPr>
    <w:tcPr>
      <w:shd w:color="auto" w:fill="D3DFEE" w:themeFill="accent1" w:themeFillTint="3F" w:val="clear"/>
    </w:tcPr>
    <w:tblStylePr w:type="firstRow">
      <w:rPr>
        <w:b/>
        <w:bCs/>
      </w:rPr>
    </w:tblStylePr>
    <w:tblStylePr w:type="lastRow">
      <w:rPr>
        <w:b/>
        <w:bCs/>
      </w:rPr>
      <w:tblPr/>
      <w:tcPr>
        <w:tcBorders>
          <w:top w:color="7BA0CD" w:space="0" w:sz="18" w:themeColor="accent1" w:themeTint="BF" w:val="single"/>
        </w:tcBorders>
      </w:tcPr>
    </w:tblStylePr>
    <w:tblStylePr w:type="firstCol">
      <w:rPr>
        <w:b/>
        <w:bCs/>
      </w:rPr>
    </w:tblStylePr>
    <w:tblStylePr w:type="lastCol">
      <w:rPr>
        <w:b/>
        <w:bCs/>
      </w:rPr>
    </w:tblStylePr>
    <w:tblStylePr w:type="band1Vert">
      <w:tblPr/>
      <w:tcPr>
        <w:shd w:color="auto" w:fill="A7BFDE" w:themeFill="accent1" w:themeFillTint="7F" w:val="clear"/>
      </w:tcPr>
    </w:tblStylePr>
    <w:tblStylePr w:type="band1Horz">
      <w:tblPr/>
      <w:tcPr>
        <w:shd w:color="auto" w:fill="A7BFDE" w:themeFill="accent1" w:themeFillTint="7F" w:val="clear"/>
      </w:tcPr>
    </w:tblStylePr>
  </w:style>
  <w:style w:styleId="MediumGrid1-Accent2" w:type="table">
    <w:name w:val="Medium Grid 1 Accent 2"/>
    <w:basedOn w:val="TableNormal"/>
    <w:uiPriority w:val="67"/>
    <w:rsid w:val="00CB0664"/>
    <w:pPr>
      <w:spacing w:after="0" w:line="240" w:lineRule="auto"/>
    </w:pPr>
    <w:tblPr>
      <w:tblStyleRowBandSize w:val="1"/>
      <w:tblStyleColBandSize w:val="1"/>
      <w:tblInd w:type="dxa" w:w="0"/>
      <w:tblBorders>
        <w:top w:color="CF7B79" w:space="0" w:sz="8" w:themeColor="accent2" w:themeTint="BF" w:val="single"/>
        <w:left w:color="CF7B79" w:space="0" w:sz="8" w:themeColor="accent2" w:themeTint="BF" w:val="single"/>
        <w:bottom w:color="CF7B79" w:space="0" w:sz="8" w:themeColor="accent2" w:themeTint="BF" w:val="single"/>
        <w:right w:color="CF7B79" w:space="0" w:sz="8" w:themeColor="accent2" w:themeTint="BF" w:val="single"/>
        <w:insideH w:color="CF7B79" w:space="0" w:sz="8" w:themeColor="accent2" w:themeTint="BF" w:val="single"/>
        <w:insideV w:color="CF7B79" w:space="0" w:sz="8" w:themeColor="accent2" w:themeTint="BF" w:val="single"/>
      </w:tblBorders>
      <w:tblCellMar>
        <w:top w:type="dxa" w:w="0"/>
        <w:left w:type="dxa" w:w="108"/>
        <w:bottom w:type="dxa" w:w="0"/>
        <w:right w:type="dxa" w:w="108"/>
      </w:tblCellMar>
    </w:tblPr>
    <w:tcPr>
      <w:shd w:color="auto" w:fill="EFD3D2" w:themeFill="accent2" w:themeFillTint="3F" w:val="clear"/>
    </w:tcPr>
    <w:tblStylePr w:type="firstRow">
      <w:rPr>
        <w:b/>
        <w:bCs/>
      </w:rPr>
    </w:tblStylePr>
    <w:tblStylePr w:type="lastRow">
      <w:rPr>
        <w:b/>
        <w:bCs/>
      </w:rPr>
      <w:tblPr/>
      <w:tcPr>
        <w:tcBorders>
          <w:top w:color="CF7B79" w:space="0" w:sz="18" w:themeColor="accent2" w:themeTint="BF" w:val="single"/>
        </w:tcBorders>
      </w:tcPr>
    </w:tblStylePr>
    <w:tblStylePr w:type="firstCol">
      <w:rPr>
        <w:b/>
        <w:bCs/>
      </w:rPr>
    </w:tblStylePr>
    <w:tblStylePr w:type="lastCol">
      <w:rPr>
        <w:b/>
        <w:bCs/>
      </w:rPr>
    </w:tblStylePr>
    <w:tblStylePr w:type="band1Vert">
      <w:tblPr/>
      <w:tcPr>
        <w:shd w:color="auto" w:fill="DFA7A6" w:themeFill="accent2" w:themeFillTint="7F" w:val="clear"/>
      </w:tcPr>
    </w:tblStylePr>
    <w:tblStylePr w:type="band1Horz">
      <w:tblPr/>
      <w:tcPr>
        <w:shd w:color="auto" w:fill="DFA7A6" w:themeFill="accent2" w:themeFillTint="7F" w:val="clear"/>
      </w:tcPr>
    </w:tblStylePr>
  </w:style>
  <w:style w:styleId="MediumGrid1-Accent3" w:type="table">
    <w:name w:val="Medium Grid 1 Accent 3"/>
    <w:basedOn w:val="TableNormal"/>
    <w:uiPriority w:val="67"/>
    <w:rsid w:val="00CB0664"/>
    <w:pPr>
      <w:spacing w:after="0" w:line="240" w:lineRule="auto"/>
    </w:pPr>
    <w:tblPr>
      <w:tblStyleRowBandSize w:val="1"/>
      <w:tblStyleColBandSize w:val="1"/>
      <w:tblInd w:type="dxa" w:w="0"/>
      <w:tblBorders>
        <w:top w:color="B3CC82" w:space="0" w:sz="8" w:themeColor="accent3" w:themeTint="BF" w:val="single"/>
        <w:left w:color="B3CC82" w:space="0" w:sz="8" w:themeColor="accent3" w:themeTint="BF" w:val="single"/>
        <w:bottom w:color="B3CC82" w:space="0" w:sz="8" w:themeColor="accent3" w:themeTint="BF" w:val="single"/>
        <w:right w:color="B3CC82" w:space="0" w:sz="8" w:themeColor="accent3" w:themeTint="BF" w:val="single"/>
        <w:insideH w:color="B3CC82" w:space="0" w:sz="8" w:themeColor="accent3" w:themeTint="BF" w:val="single"/>
        <w:insideV w:color="B3CC82" w:space="0" w:sz="8" w:themeColor="accent3" w:themeTint="BF" w:val="single"/>
      </w:tblBorders>
      <w:tblCellMar>
        <w:top w:type="dxa" w:w="0"/>
        <w:left w:type="dxa" w:w="108"/>
        <w:bottom w:type="dxa" w:w="0"/>
        <w:right w:type="dxa" w:w="108"/>
      </w:tblCellMar>
    </w:tblPr>
    <w:tcPr>
      <w:shd w:color="auto" w:fill="E6EED5" w:themeFill="accent3" w:themeFillTint="3F" w:val="clear"/>
    </w:tcPr>
    <w:tblStylePr w:type="firstRow">
      <w:rPr>
        <w:b/>
        <w:bCs/>
      </w:rPr>
    </w:tblStylePr>
    <w:tblStylePr w:type="lastRow">
      <w:rPr>
        <w:b/>
        <w:bCs/>
      </w:rPr>
      <w:tblPr/>
      <w:tcPr>
        <w:tcBorders>
          <w:top w:color="B3CC82" w:space="0" w:sz="18" w:themeColor="accent3" w:themeTint="BF" w:val="single"/>
        </w:tcBorders>
      </w:tcPr>
    </w:tblStylePr>
    <w:tblStylePr w:type="firstCol">
      <w:rPr>
        <w:b/>
        <w:bCs/>
      </w:rPr>
    </w:tblStylePr>
    <w:tblStylePr w:type="lastCol">
      <w:rPr>
        <w:b/>
        <w:bCs/>
      </w:rPr>
    </w:tblStylePr>
    <w:tblStylePr w:type="band1Vert">
      <w:tblPr/>
      <w:tcPr>
        <w:shd w:color="auto" w:fill="CDDDAC" w:themeFill="accent3" w:themeFillTint="7F" w:val="clear"/>
      </w:tcPr>
    </w:tblStylePr>
    <w:tblStylePr w:type="band1Horz">
      <w:tblPr/>
      <w:tcPr>
        <w:shd w:color="auto" w:fill="CDDDAC" w:themeFill="accent3" w:themeFillTint="7F" w:val="clear"/>
      </w:tcPr>
    </w:tblStylePr>
  </w:style>
  <w:style w:styleId="MediumGrid1-Accent4" w:type="table">
    <w:name w:val="Medium Grid 1 Accent 4"/>
    <w:basedOn w:val="TableNormal"/>
    <w:uiPriority w:val="67"/>
    <w:rsid w:val="00CB0664"/>
    <w:pPr>
      <w:spacing w:after="0" w:line="240" w:lineRule="auto"/>
    </w:pPr>
    <w:tblPr>
      <w:tblStyleRowBandSize w:val="1"/>
      <w:tblStyleColBandSize w:val="1"/>
      <w:tblInd w:type="dxa" w:w="0"/>
      <w:tblBorders>
        <w:top w:color="9F8AB9" w:space="0" w:sz="8" w:themeColor="accent4" w:themeTint="BF" w:val="single"/>
        <w:left w:color="9F8AB9" w:space="0" w:sz="8" w:themeColor="accent4" w:themeTint="BF" w:val="single"/>
        <w:bottom w:color="9F8AB9" w:space="0" w:sz="8" w:themeColor="accent4" w:themeTint="BF" w:val="single"/>
        <w:right w:color="9F8AB9" w:space="0" w:sz="8" w:themeColor="accent4" w:themeTint="BF" w:val="single"/>
        <w:insideH w:color="9F8AB9" w:space="0" w:sz="8" w:themeColor="accent4" w:themeTint="BF" w:val="single"/>
        <w:insideV w:color="9F8AB9" w:space="0" w:sz="8" w:themeColor="accent4" w:themeTint="BF" w:val="single"/>
      </w:tblBorders>
      <w:tblCellMar>
        <w:top w:type="dxa" w:w="0"/>
        <w:left w:type="dxa" w:w="108"/>
        <w:bottom w:type="dxa" w:w="0"/>
        <w:right w:type="dxa" w:w="108"/>
      </w:tblCellMar>
    </w:tblPr>
    <w:tcPr>
      <w:shd w:color="auto" w:fill="DFD8E8" w:themeFill="accent4" w:themeFillTint="3F" w:val="clear"/>
    </w:tcPr>
    <w:tblStylePr w:type="firstRow">
      <w:rPr>
        <w:b/>
        <w:bCs/>
      </w:rPr>
    </w:tblStylePr>
    <w:tblStylePr w:type="lastRow">
      <w:rPr>
        <w:b/>
        <w:bCs/>
      </w:rPr>
      <w:tblPr/>
      <w:tcPr>
        <w:tcBorders>
          <w:top w:color="9F8AB9" w:space="0" w:sz="18" w:themeColor="accent4" w:themeTint="BF" w:val="single"/>
        </w:tcBorders>
      </w:tcPr>
    </w:tblStylePr>
    <w:tblStylePr w:type="firstCol">
      <w:rPr>
        <w:b/>
        <w:bCs/>
      </w:rPr>
    </w:tblStylePr>
    <w:tblStylePr w:type="lastCol">
      <w:rPr>
        <w:b/>
        <w:bCs/>
      </w:rPr>
    </w:tblStylePr>
    <w:tblStylePr w:type="band1Vert">
      <w:tblPr/>
      <w:tcPr>
        <w:shd w:color="auto" w:fill="BFB1D0" w:themeFill="accent4" w:themeFillTint="7F" w:val="clear"/>
      </w:tcPr>
    </w:tblStylePr>
    <w:tblStylePr w:type="band1Horz">
      <w:tblPr/>
      <w:tcPr>
        <w:shd w:color="auto" w:fill="BFB1D0" w:themeFill="accent4" w:themeFillTint="7F" w:val="clear"/>
      </w:tcPr>
    </w:tblStylePr>
  </w:style>
  <w:style w:styleId="MediumGrid1-Accent5" w:type="table">
    <w:name w:val="Medium Grid 1 Accent 5"/>
    <w:basedOn w:val="TableNormal"/>
    <w:uiPriority w:val="67"/>
    <w:rsid w:val="00CB0664"/>
    <w:pPr>
      <w:spacing w:after="0" w:line="240" w:lineRule="auto"/>
    </w:pPr>
    <w:tblPr>
      <w:tblStyleRowBandSize w:val="1"/>
      <w:tblStyleColBandSize w:val="1"/>
      <w:tblInd w:type="dxa" w:w="0"/>
      <w:tblBorders>
        <w:top w:color="78C0D4" w:space="0" w:sz="8" w:themeColor="accent5" w:themeTint="BF" w:val="single"/>
        <w:left w:color="78C0D4" w:space="0" w:sz="8" w:themeColor="accent5" w:themeTint="BF" w:val="single"/>
        <w:bottom w:color="78C0D4" w:space="0" w:sz="8" w:themeColor="accent5" w:themeTint="BF" w:val="single"/>
        <w:right w:color="78C0D4" w:space="0" w:sz="8" w:themeColor="accent5" w:themeTint="BF" w:val="single"/>
        <w:insideH w:color="78C0D4" w:space="0" w:sz="8" w:themeColor="accent5" w:themeTint="BF" w:val="single"/>
        <w:insideV w:color="78C0D4" w:space="0" w:sz="8" w:themeColor="accent5" w:themeTint="BF" w:val="single"/>
      </w:tblBorders>
      <w:tblCellMar>
        <w:top w:type="dxa" w:w="0"/>
        <w:left w:type="dxa" w:w="108"/>
        <w:bottom w:type="dxa" w:w="0"/>
        <w:right w:type="dxa" w:w="108"/>
      </w:tblCellMar>
    </w:tblPr>
    <w:tcPr>
      <w:shd w:color="auto" w:fill="D2EAF1" w:themeFill="accent5" w:themeFillTint="3F" w:val="clear"/>
    </w:tcPr>
    <w:tblStylePr w:type="firstRow">
      <w:rPr>
        <w:b/>
        <w:bCs/>
      </w:rPr>
    </w:tblStylePr>
    <w:tblStylePr w:type="lastRow">
      <w:rPr>
        <w:b/>
        <w:bCs/>
      </w:rPr>
      <w:tblPr/>
      <w:tcPr>
        <w:tcBorders>
          <w:top w:color="78C0D4" w:space="0" w:sz="18" w:themeColor="accent5" w:themeTint="BF" w:val="single"/>
        </w:tcBorders>
      </w:tcPr>
    </w:tblStylePr>
    <w:tblStylePr w:type="firstCol">
      <w:rPr>
        <w:b/>
        <w:bCs/>
      </w:rPr>
    </w:tblStylePr>
    <w:tblStylePr w:type="lastCol">
      <w:rPr>
        <w:b/>
        <w:bCs/>
      </w:rPr>
    </w:tblStylePr>
    <w:tblStylePr w:type="band1Vert">
      <w:tblPr/>
      <w:tcPr>
        <w:shd w:color="auto" w:fill="A5D5E2" w:themeFill="accent5" w:themeFillTint="7F" w:val="clear"/>
      </w:tcPr>
    </w:tblStylePr>
    <w:tblStylePr w:type="band1Horz">
      <w:tblPr/>
      <w:tcPr>
        <w:shd w:color="auto" w:fill="A5D5E2" w:themeFill="accent5" w:themeFillTint="7F" w:val="clear"/>
      </w:tcPr>
    </w:tblStylePr>
  </w:style>
  <w:style w:styleId="MediumGrid1-Accent6" w:type="table">
    <w:name w:val="Medium Grid 1 Accent 6"/>
    <w:basedOn w:val="TableNormal"/>
    <w:uiPriority w:val="67"/>
    <w:rsid w:val="00CB0664"/>
    <w:pPr>
      <w:spacing w:after="0" w:line="240" w:lineRule="auto"/>
    </w:pPr>
    <w:tblPr>
      <w:tblStyleRowBandSize w:val="1"/>
      <w:tblStyleColBandSize w:val="1"/>
      <w:tblInd w:type="dxa" w:w="0"/>
      <w:tblBorders>
        <w:top w:color="F9B074" w:space="0" w:sz="8" w:themeColor="accent6" w:themeTint="BF" w:val="single"/>
        <w:left w:color="F9B074" w:space="0" w:sz="8" w:themeColor="accent6" w:themeTint="BF" w:val="single"/>
        <w:bottom w:color="F9B074" w:space="0" w:sz="8" w:themeColor="accent6" w:themeTint="BF" w:val="single"/>
        <w:right w:color="F9B074" w:space="0" w:sz="8" w:themeColor="accent6" w:themeTint="BF" w:val="single"/>
        <w:insideH w:color="F9B074" w:space="0" w:sz="8" w:themeColor="accent6" w:themeTint="BF" w:val="single"/>
        <w:insideV w:color="F9B074" w:space="0" w:sz="8" w:themeColor="accent6" w:themeTint="BF" w:val="single"/>
      </w:tblBorders>
      <w:tblCellMar>
        <w:top w:type="dxa" w:w="0"/>
        <w:left w:type="dxa" w:w="108"/>
        <w:bottom w:type="dxa" w:w="0"/>
        <w:right w:type="dxa" w:w="108"/>
      </w:tblCellMar>
    </w:tblPr>
    <w:tcPr>
      <w:shd w:color="auto" w:fill="FDE4D0" w:themeFill="accent6" w:themeFillTint="3F" w:val="clear"/>
    </w:tcPr>
    <w:tblStylePr w:type="firstRow">
      <w:rPr>
        <w:b/>
        <w:bCs/>
      </w:rPr>
    </w:tblStylePr>
    <w:tblStylePr w:type="lastRow">
      <w:rPr>
        <w:b/>
        <w:bCs/>
      </w:rPr>
      <w:tblPr/>
      <w:tcPr>
        <w:tcBorders>
          <w:top w:color="F9B074" w:space="0" w:sz="18" w:themeColor="accent6" w:themeTint="BF" w:val="single"/>
        </w:tcBorders>
      </w:tcPr>
    </w:tblStylePr>
    <w:tblStylePr w:type="firstCol">
      <w:rPr>
        <w:b/>
        <w:bCs/>
      </w:rPr>
    </w:tblStylePr>
    <w:tblStylePr w:type="lastCol">
      <w:rPr>
        <w:b/>
        <w:bCs/>
      </w:rPr>
    </w:tblStylePr>
    <w:tblStylePr w:type="band1Vert">
      <w:tblPr/>
      <w:tcPr>
        <w:shd w:color="auto" w:fill="FBCAA2" w:themeFill="accent6" w:themeFillTint="7F" w:val="clear"/>
      </w:tcPr>
    </w:tblStylePr>
    <w:tblStylePr w:type="band1Horz">
      <w:tblPr/>
      <w:tcPr>
        <w:shd w:color="auto" w:fill="FBCAA2" w:themeFill="accent6" w:themeFillTint="7F" w:val="clear"/>
      </w:tcPr>
    </w:tblStylePr>
  </w:style>
  <w:style w:styleId="MediumGrid2" w:type="table">
    <w:name w:val="Medium Grid 2"/>
    <w:basedOn w:val="Table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CellMar>
        <w:top w:type="dxa" w:w="0"/>
        <w:left w:type="dxa" w:w="108"/>
        <w:bottom w:type="dxa" w:w="0"/>
        <w:right w:type="dxa" w:w="108"/>
      </w:tblCellMar>
    </w:tblPr>
    <w:tcPr>
      <w:shd w:color="auto" w:fill="C0C0C0" w:themeFill="text1" w:themeFillTint="3F" w:val="clear"/>
    </w:tcPr>
    <w:tblStylePr w:type="firstRow">
      <w:rPr>
        <w:b/>
        <w:bCs/>
        <w:color w:themeColor="text1" w:val="000000"/>
      </w:rPr>
      <w:tblPr/>
      <w:tcPr>
        <w:shd w:color="auto" w:fill="E6E6E6" w:themeFill="text1"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CCCCCC" w:themeFill="text1" w:themeFillTint="33" w:val="clear"/>
      </w:tcPr>
    </w:tblStylePr>
    <w:tblStylePr w:type="band1Vert">
      <w:tblPr/>
      <w:tcPr>
        <w:shd w:color="auto" w:fill="808080" w:themeFill="text1" w:themeFillTint="7F" w:val="clear"/>
      </w:tcPr>
    </w:tblStylePr>
    <w:tblStylePr w:type="band1Horz">
      <w:tblPr/>
      <w:tcPr>
        <w:tcBorders>
          <w:insideH w:color="000000" w:space="0" w:sz="6" w:themeColor="text1" w:val="single"/>
          <w:insideV w:color="000000" w:space="0" w:sz="6" w:themeColor="text1" w:val="single"/>
        </w:tcBorders>
        <w:shd w:color="auto" w:fill="808080" w:themeFill="text1" w:themeFillTint="7F" w:val="clear"/>
      </w:tcPr>
    </w:tblStylePr>
    <w:tblStylePr w:type="nwCell">
      <w:tblPr/>
      <w:tcPr>
        <w:shd w:color="auto" w:fill="FFFFFF" w:themeFill="background1" w:val="clear"/>
      </w:tcPr>
    </w:tblStylePr>
  </w:style>
  <w:style w:styleId="MediumGrid2-Accent1" w:type="table">
    <w:name w:val="Medium Grid 2 Accent 1"/>
    <w:basedOn w:val="Table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CellMar>
        <w:top w:type="dxa" w:w="0"/>
        <w:left w:type="dxa" w:w="108"/>
        <w:bottom w:type="dxa" w:w="0"/>
        <w:right w:type="dxa" w:w="108"/>
      </w:tblCellMar>
    </w:tblPr>
    <w:tcPr>
      <w:shd w:color="auto" w:fill="D3DFEE" w:themeFill="accent1" w:themeFillTint="3F" w:val="clear"/>
    </w:tcPr>
    <w:tblStylePr w:type="firstRow">
      <w:rPr>
        <w:b/>
        <w:bCs/>
        <w:color w:themeColor="text1" w:val="000000"/>
      </w:rPr>
      <w:tblPr/>
      <w:tcPr>
        <w:shd w:color="auto" w:fill="EDF2F8" w:themeFill="accent1"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DBE5F1" w:themeFill="accent1" w:themeFillTint="33" w:val="clear"/>
      </w:tcPr>
    </w:tblStylePr>
    <w:tblStylePr w:type="band1Vert">
      <w:tblPr/>
      <w:tcPr>
        <w:shd w:color="auto" w:fill="A7BFDE" w:themeFill="accent1" w:themeFillTint="7F" w:val="clear"/>
      </w:tcPr>
    </w:tblStylePr>
    <w:tblStylePr w:type="band1Horz">
      <w:tblPr/>
      <w:tcPr>
        <w:tcBorders>
          <w:insideH w:color="4F81BD" w:space="0" w:sz="6" w:themeColor="accent1" w:val="single"/>
          <w:insideV w:color="4F81BD" w:space="0" w:sz="6" w:themeColor="accent1" w:val="single"/>
        </w:tcBorders>
        <w:shd w:color="auto" w:fill="A7BFDE" w:themeFill="accent1" w:themeFillTint="7F" w:val="clear"/>
      </w:tcPr>
    </w:tblStylePr>
    <w:tblStylePr w:type="nwCell">
      <w:tblPr/>
      <w:tcPr>
        <w:shd w:color="auto" w:fill="FFFFFF" w:themeFill="background1" w:val="clear"/>
      </w:tcPr>
    </w:tblStylePr>
  </w:style>
  <w:style w:styleId="MediumGrid2-Accent2" w:type="table">
    <w:name w:val="Medium Grid 2 Accent 2"/>
    <w:basedOn w:val="Table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CellMar>
        <w:top w:type="dxa" w:w="0"/>
        <w:left w:type="dxa" w:w="108"/>
        <w:bottom w:type="dxa" w:w="0"/>
        <w:right w:type="dxa" w:w="108"/>
      </w:tblCellMar>
    </w:tblPr>
    <w:tcPr>
      <w:shd w:color="auto" w:fill="EFD3D2" w:themeFill="accent2" w:themeFillTint="3F" w:val="clear"/>
    </w:tcPr>
    <w:tblStylePr w:type="firstRow">
      <w:rPr>
        <w:b/>
        <w:bCs/>
        <w:color w:themeColor="text1" w:val="000000"/>
      </w:rPr>
      <w:tblPr/>
      <w:tcPr>
        <w:shd w:color="auto" w:fill="F8EDED" w:themeFill="accent2"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F2DBDB" w:themeFill="accent2" w:themeFillTint="33" w:val="clear"/>
      </w:tcPr>
    </w:tblStylePr>
    <w:tblStylePr w:type="band1Vert">
      <w:tblPr/>
      <w:tcPr>
        <w:shd w:color="auto" w:fill="DFA7A6" w:themeFill="accent2" w:themeFillTint="7F" w:val="clear"/>
      </w:tcPr>
    </w:tblStylePr>
    <w:tblStylePr w:type="band1Horz">
      <w:tblPr/>
      <w:tcPr>
        <w:tcBorders>
          <w:insideH w:color="C0504D" w:space="0" w:sz="6" w:themeColor="accent2" w:val="single"/>
          <w:insideV w:color="C0504D" w:space="0" w:sz="6" w:themeColor="accent2" w:val="single"/>
        </w:tcBorders>
        <w:shd w:color="auto" w:fill="DFA7A6" w:themeFill="accent2" w:themeFillTint="7F" w:val="clear"/>
      </w:tcPr>
    </w:tblStylePr>
    <w:tblStylePr w:type="nwCell">
      <w:tblPr/>
      <w:tcPr>
        <w:shd w:color="auto" w:fill="FFFFFF" w:themeFill="background1" w:val="clear"/>
      </w:tcPr>
    </w:tblStylePr>
  </w:style>
  <w:style w:styleId="MediumGrid2-Accent3" w:type="table">
    <w:name w:val="Medium Grid 2 Accent 3"/>
    <w:basedOn w:val="Table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CellMar>
        <w:top w:type="dxa" w:w="0"/>
        <w:left w:type="dxa" w:w="108"/>
        <w:bottom w:type="dxa" w:w="0"/>
        <w:right w:type="dxa" w:w="108"/>
      </w:tblCellMar>
    </w:tblPr>
    <w:tcPr>
      <w:shd w:color="auto" w:fill="E6EED5" w:themeFill="accent3" w:themeFillTint="3F" w:val="clear"/>
    </w:tcPr>
    <w:tblStylePr w:type="firstRow">
      <w:rPr>
        <w:b/>
        <w:bCs/>
        <w:color w:themeColor="text1" w:val="000000"/>
      </w:rPr>
      <w:tblPr/>
      <w:tcPr>
        <w:shd w:color="auto" w:fill="F5F8EE" w:themeFill="accent3"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EAF1DD" w:themeFill="accent3" w:themeFillTint="33" w:val="clear"/>
      </w:tcPr>
    </w:tblStylePr>
    <w:tblStylePr w:type="band1Vert">
      <w:tblPr/>
      <w:tcPr>
        <w:shd w:color="auto" w:fill="CDDDAC" w:themeFill="accent3" w:themeFillTint="7F" w:val="clear"/>
      </w:tcPr>
    </w:tblStylePr>
    <w:tblStylePr w:type="band1Horz">
      <w:tblPr/>
      <w:tcPr>
        <w:tcBorders>
          <w:insideH w:color="9BBB59" w:space="0" w:sz="6" w:themeColor="accent3" w:val="single"/>
          <w:insideV w:color="9BBB59" w:space="0" w:sz="6" w:themeColor="accent3" w:val="single"/>
        </w:tcBorders>
        <w:shd w:color="auto" w:fill="CDDDAC" w:themeFill="accent3" w:themeFillTint="7F" w:val="clear"/>
      </w:tcPr>
    </w:tblStylePr>
    <w:tblStylePr w:type="nwCell">
      <w:tblPr/>
      <w:tcPr>
        <w:shd w:color="auto" w:fill="FFFFFF" w:themeFill="background1" w:val="clear"/>
      </w:tcPr>
    </w:tblStylePr>
  </w:style>
  <w:style w:styleId="MediumGrid2-Accent4" w:type="table">
    <w:name w:val="Medium Grid 2 Accent 4"/>
    <w:basedOn w:val="Table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CellMar>
        <w:top w:type="dxa" w:w="0"/>
        <w:left w:type="dxa" w:w="108"/>
        <w:bottom w:type="dxa" w:w="0"/>
        <w:right w:type="dxa" w:w="108"/>
      </w:tblCellMar>
    </w:tblPr>
    <w:tcPr>
      <w:shd w:color="auto" w:fill="DFD8E8" w:themeFill="accent4" w:themeFillTint="3F" w:val="clear"/>
    </w:tcPr>
    <w:tblStylePr w:type="firstRow">
      <w:rPr>
        <w:b/>
        <w:bCs/>
        <w:color w:themeColor="text1" w:val="000000"/>
      </w:rPr>
      <w:tblPr/>
      <w:tcPr>
        <w:shd w:color="auto" w:fill="F2EFF6" w:themeFill="accent4"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E5DFEC" w:themeFill="accent4" w:themeFillTint="33" w:val="clear"/>
      </w:tcPr>
    </w:tblStylePr>
    <w:tblStylePr w:type="band1Vert">
      <w:tblPr/>
      <w:tcPr>
        <w:shd w:color="auto" w:fill="BFB1D0" w:themeFill="accent4" w:themeFillTint="7F" w:val="clear"/>
      </w:tcPr>
    </w:tblStylePr>
    <w:tblStylePr w:type="band1Horz">
      <w:tblPr/>
      <w:tcPr>
        <w:tcBorders>
          <w:insideH w:color="8064A2" w:space="0" w:sz="6" w:themeColor="accent4" w:val="single"/>
          <w:insideV w:color="8064A2" w:space="0" w:sz="6" w:themeColor="accent4" w:val="single"/>
        </w:tcBorders>
        <w:shd w:color="auto" w:fill="BFB1D0" w:themeFill="accent4" w:themeFillTint="7F" w:val="clear"/>
      </w:tcPr>
    </w:tblStylePr>
    <w:tblStylePr w:type="nwCell">
      <w:tblPr/>
      <w:tcPr>
        <w:shd w:color="auto" w:fill="FFFFFF" w:themeFill="background1" w:val="clear"/>
      </w:tcPr>
    </w:tblStylePr>
  </w:style>
  <w:style w:styleId="MediumGrid2-Accent5" w:type="table">
    <w:name w:val="Medium Grid 2 Accent 5"/>
    <w:basedOn w:val="Table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CellMar>
        <w:top w:type="dxa" w:w="0"/>
        <w:left w:type="dxa" w:w="108"/>
        <w:bottom w:type="dxa" w:w="0"/>
        <w:right w:type="dxa" w:w="108"/>
      </w:tblCellMar>
    </w:tblPr>
    <w:tcPr>
      <w:shd w:color="auto" w:fill="D2EAF1" w:themeFill="accent5" w:themeFillTint="3F" w:val="clear"/>
    </w:tcPr>
    <w:tblStylePr w:type="firstRow">
      <w:rPr>
        <w:b/>
        <w:bCs/>
        <w:color w:themeColor="text1" w:val="000000"/>
      </w:rPr>
      <w:tblPr/>
      <w:tcPr>
        <w:shd w:color="auto" w:fill="EDF6F9" w:themeFill="accent5"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DAEEF3" w:themeFill="accent5" w:themeFillTint="33" w:val="clear"/>
      </w:tcPr>
    </w:tblStylePr>
    <w:tblStylePr w:type="band1Vert">
      <w:tblPr/>
      <w:tcPr>
        <w:shd w:color="auto" w:fill="A5D5E2" w:themeFill="accent5" w:themeFillTint="7F" w:val="clear"/>
      </w:tcPr>
    </w:tblStylePr>
    <w:tblStylePr w:type="band1Horz">
      <w:tblPr/>
      <w:tcPr>
        <w:tcBorders>
          <w:insideH w:color="4BACC6" w:space="0" w:sz="6" w:themeColor="accent5" w:val="single"/>
          <w:insideV w:color="4BACC6" w:space="0" w:sz="6" w:themeColor="accent5" w:val="single"/>
        </w:tcBorders>
        <w:shd w:color="auto" w:fill="A5D5E2" w:themeFill="accent5" w:themeFillTint="7F" w:val="clear"/>
      </w:tcPr>
    </w:tblStylePr>
    <w:tblStylePr w:type="nwCell">
      <w:tblPr/>
      <w:tcPr>
        <w:shd w:color="auto" w:fill="FFFFFF" w:themeFill="background1" w:val="clear"/>
      </w:tcPr>
    </w:tblStylePr>
  </w:style>
  <w:style w:styleId="MediumGrid2-Accent6" w:type="table">
    <w:name w:val="Medium Grid 2 Accent 6"/>
    <w:basedOn w:val="Table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CellMar>
        <w:top w:type="dxa" w:w="0"/>
        <w:left w:type="dxa" w:w="108"/>
        <w:bottom w:type="dxa" w:w="0"/>
        <w:right w:type="dxa" w:w="108"/>
      </w:tblCellMar>
    </w:tblPr>
    <w:tcPr>
      <w:shd w:color="auto" w:fill="FDE4D0" w:themeFill="accent6" w:themeFillTint="3F" w:val="clear"/>
    </w:tcPr>
    <w:tblStylePr w:type="firstRow">
      <w:rPr>
        <w:b/>
        <w:bCs/>
        <w:color w:themeColor="text1" w:val="000000"/>
      </w:rPr>
      <w:tblPr/>
      <w:tcPr>
        <w:shd w:color="auto" w:fill="FEF4EC" w:themeFill="accent6"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FDE9D9" w:themeFill="accent6" w:themeFillTint="33" w:val="clear"/>
      </w:tcPr>
    </w:tblStylePr>
    <w:tblStylePr w:type="band1Vert">
      <w:tblPr/>
      <w:tcPr>
        <w:shd w:color="auto" w:fill="FBCAA2" w:themeFill="accent6" w:themeFillTint="7F" w:val="clear"/>
      </w:tcPr>
    </w:tblStylePr>
    <w:tblStylePr w:type="band1Horz">
      <w:tblPr/>
      <w:tcPr>
        <w:tcBorders>
          <w:insideH w:color="F79646" w:space="0" w:sz="6" w:themeColor="accent6" w:val="single"/>
          <w:insideV w:color="F79646" w:space="0" w:sz="6" w:themeColor="accent6" w:val="single"/>
        </w:tcBorders>
        <w:shd w:color="auto" w:fill="FBCAA2" w:themeFill="accent6" w:themeFillTint="7F" w:val="clear"/>
      </w:tcPr>
    </w:tblStylePr>
    <w:tblStylePr w:type="nwCell">
      <w:tblPr/>
      <w:tcPr>
        <w:shd w:color="auto" w:fill="FFFFFF" w:themeFill="background1" w:val="clear"/>
      </w:tcPr>
    </w:tblStylePr>
  </w:style>
  <w:style w:styleId="MediumGrid3" w:type="table">
    <w:name w:val="Medium Grid 3"/>
    <w:basedOn w:val="TableNormal"/>
    <w:uiPriority w:val="69"/>
    <w:rsid w:val="00CB0664"/>
    <w:pPr>
      <w:spacing w:after="0" w:line="240" w:lineRule="auto"/>
    </w:pPr>
    <w:tblPr>
      <w:tblStyleRowBandSize w:val="1"/>
      <w:tblStyleColBandSize w:val="1"/>
      <w:tblInd w:type="dxa" w:w="0"/>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type="dxa" w:w="0"/>
        <w:left w:type="dxa" w:w="108"/>
        <w:bottom w:type="dxa" w:w="0"/>
        <w:right w:type="dxa" w:w="108"/>
      </w:tblCellMar>
    </w:tblPr>
    <w:tcPr>
      <w:shd w:color="auto" w:fill="C0C0C0" w:themeFill="text1"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000000" w:themeFill="text1"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000000" w:themeFill="text1"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000000" w:themeFill="text1"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000000" w:themeFill="tex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808080" w:themeFill="text1"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808080" w:themeFill="text1" w:themeFillTint="7F" w:val="clear"/>
      </w:tcPr>
    </w:tblStylePr>
  </w:style>
  <w:style w:styleId="MediumGrid3-Accent1" w:type="table">
    <w:name w:val="Medium Grid 3 Accent 1"/>
    <w:basedOn w:val="TableNormal"/>
    <w:uiPriority w:val="69"/>
    <w:rsid w:val="00CB0664"/>
    <w:pPr>
      <w:spacing w:after="0" w:line="240" w:lineRule="auto"/>
    </w:pPr>
    <w:tblPr>
      <w:tblStyleRowBandSize w:val="1"/>
      <w:tblStyleColBandSize w:val="1"/>
      <w:tblInd w:type="dxa" w:w="0"/>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type="dxa" w:w="0"/>
        <w:left w:type="dxa" w:w="108"/>
        <w:bottom w:type="dxa" w:w="0"/>
        <w:right w:type="dxa" w:w="108"/>
      </w:tblCellMar>
    </w:tblPr>
    <w:tcPr>
      <w:shd w:color="auto" w:fill="D3DFEE" w:themeFill="accent1"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4F81BD" w:themeFill="accent1"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4F81BD" w:themeFill="accent1"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4F81BD" w:themeFill="accent1"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4F81BD" w:themeFill="accen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A7BFDE" w:themeFill="accent1"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7BFDE" w:themeFill="accent1" w:themeFillTint="7F" w:val="clear"/>
      </w:tcPr>
    </w:tblStylePr>
  </w:style>
  <w:style w:styleId="MediumGrid3-Accent2" w:type="table">
    <w:name w:val="Medium Grid 3 Accent 2"/>
    <w:basedOn w:val="TableNormal"/>
    <w:uiPriority w:val="69"/>
    <w:rsid w:val="00CB0664"/>
    <w:pPr>
      <w:spacing w:after="0" w:line="240" w:lineRule="auto"/>
    </w:pPr>
    <w:tblPr>
      <w:tblStyleRowBandSize w:val="1"/>
      <w:tblStyleColBandSize w:val="1"/>
      <w:tblInd w:type="dxa" w:w="0"/>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type="dxa" w:w="0"/>
        <w:left w:type="dxa" w:w="108"/>
        <w:bottom w:type="dxa" w:w="0"/>
        <w:right w:type="dxa" w:w="108"/>
      </w:tblCellMar>
    </w:tblPr>
    <w:tcPr>
      <w:shd w:color="auto" w:fill="EFD3D2" w:themeFill="accent2"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C0504D" w:themeFill="accent2"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C0504D" w:themeFill="accent2"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C0504D" w:themeFill="accent2"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C0504D" w:themeFill="accent2"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DFA7A6" w:themeFill="accent2"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DFA7A6" w:themeFill="accent2" w:themeFillTint="7F" w:val="clear"/>
      </w:tcPr>
    </w:tblStylePr>
  </w:style>
  <w:style w:styleId="MediumGrid3-Accent3" w:type="table">
    <w:name w:val="Medium Grid 3 Accent 3"/>
    <w:basedOn w:val="TableNormal"/>
    <w:uiPriority w:val="69"/>
    <w:rsid w:val="00CB0664"/>
    <w:pPr>
      <w:spacing w:after="0" w:line="240" w:lineRule="auto"/>
    </w:pPr>
    <w:tblPr>
      <w:tblStyleRowBandSize w:val="1"/>
      <w:tblStyleColBandSize w:val="1"/>
      <w:tblInd w:type="dxa" w:w="0"/>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type="dxa" w:w="0"/>
        <w:left w:type="dxa" w:w="108"/>
        <w:bottom w:type="dxa" w:w="0"/>
        <w:right w:type="dxa" w:w="108"/>
      </w:tblCellMar>
    </w:tblPr>
    <w:tcPr>
      <w:shd w:color="auto" w:fill="E6EED5" w:themeFill="accent3"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9BBB59" w:themeFill="accent3"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9BBB59" w:themeFill="accent3"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9BBB59" w:themeFill="accent3"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9BBB59" w:themeFill="accent3"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CDDDAC" w:themeFill="accent3"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CDDDAC" w:themeFill="accent3" w:themeFillTint="7F" w:val="clear"/>
      </w:tcPr>
    </w:tblStylePr>
  </w:style>
  <w:style w:styleId="MediumGrid3-Accent4" w:type="table">
    <w:name w:val="Medium Grid 3 Accent 4"/>
    <w:basedOn w:val="TableNormal"/>
    <w:uiPriority w:val="69"/>
    <w:rsid w:val="00CB0664"/>
    <w:pPr>
      <w:spacing w:after="0" w:line="240" w:lineRule="auto"/>
    </w:pPr>
    <w:tblPr>
      <w:tblStyleRowBandSize w:val="1"/>
      <w:tblStyleColBandSize w:val="1"/>
      <w:tblInd w:type="dxa" w:w="0"/>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type="dxa" w:w="0"/>
        <w:left w:type="dxa" w:w="108"/>
        <w:bottom w:type="dxa" w:w="0"/>
        <w:right w:type="dxa" w:w="108"/>
      </w:tblCellMar>
    </w:tblPr>
    <w:tcPr>
      <w:shd w:color="auto" w:fill="DFD8E8" w:themeFill="accent4"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8064A2" w:themeFill="accent4"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8064A2" w:themeFill="accent4"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8064A2" w:themeFill="accent4"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8064A2" w:themeFill="accent4"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BFB1D0" w:themeFill="accent4"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BFB1D0" w:themeFill="accent4" w:themeFillTint="7F" w:val="clear"/>
      </w:tcPr>
    </w:tblStylePr>
  </w:style>
  <w:style w:styleId="MediumGrid3-Accent5" w:type="table">
    <w:name w:val="Medium Grid 3 Accent 5"/>
    <w:basedOn w:val="TableNormal"/>
    <w:uiPriority w:val="69"/>
    <w:rsid w:val="00CB0664"/>
    <w:pPr>
      <w:spacing w:after="0" w:line="240" w:lineRule="auto"/>
    </w:pPr>
    <w:tblPr>
      <w:tblStyleRowBandSize w:val="1"/>
      <w:tblStyleColBandSize w:val="1"/>
      <w:tblInd w:type="dxa" w:w="0"/>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type="dxa" w:w="0"/>
        <w:left w:type="dxa" w:w="108"/>
        <w:bottom w:type="dxa" w:w="0"/>
        <w:right w:type="dxa" w:w="108"/>
      </w:tblCellMar>
    </w:tblPr>
    <w:tcPr>
      <w:shd w:color="auto" w:fill="D2EAF1" w:themeFill="accent5"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4BACC6" w:themeFill="accent5"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4BACC6" w:themeFill="accent5"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4BACC6" w:themeFill="accent5"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4BACC6" w:themeFill="accent5"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A5D5E2" w:themeFill="accent5"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5D5E2" w:themeFill="accent5" w:themeFillTint="7F" w:val="clear"/>
      </w:tcPr>
    </w:tblStylePr>
  </w:style>
  <w:style w:styleId="MediumGrid3-Accent6" w:type="table">
    <w:name w:val="Medium Grid 3 Accent 6"/>
    <w:basedOn w:val="TableNormal"/>
    <w:uiPriority w:val="69"/>
    <w:rsid w:val="00CB0664"/>
    <w:pPr>
      <w:spacing w:after="0" w:line="240" w:lineRule="auto"/>
    </w:pPr>
    <w:tblPr>
      <w:tblStyleRowBandSize w:val="1"/>
      <w:tblStyleColBandSize w:val="1"/>
      <w:tblInd w:type="dxa" w:w="0"/>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type="dxa" w:w="0"/>
        <w:left w:type="dxa" w:w="108"/>
        <w:bottom w:type="dxa" w:w="0"/>
        <w:right w:type="dxa" w:w="108"/>
      </w:tblCellMar>
    </w:tblPr>
    <w:tcPr>
      <w:shd w:color="auto" w:fill="FDE4D0" w:themeFill="accent6"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F79646" w:themeFill="accent6"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F79646" w:themeFill="accent6"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F79646" w:themeFill="accent6"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F79646" w:themeFill="accent6"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FBCAA2" w:themeFill="accent6"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FBCAA2" w:themeFill="accent6" w:themeFillTint="7F" w:val="clear"/>
      </w:tcPr>
    </w:tblStylePr>
  </w:style>
  <w:style w:styleId="DarkList" w:type="table">
    <w:name w:val="Dark List"/>
    <w:basedOn w:val="TableNormal"/>
    <w:uiPriority w:val="70"/>
    <w:rsid w:val="00CB0664"/>
    <w:pPr>
      <w:spacing w:after="0" w:line="240" w:lineRule="auto"/>
    </w:pPr>
    <w:rPr>
      <w:color w:themeColor="background1" w:val="FFFFFF"/>
    </w:rPr>
    <w:tblPr>
      <w:tblStyleRowBandSize w:val="1"/>
      <w:tblStyleColBandSize w:val="1"/>
      <w:tblInd w:type="dxa" w:w="0"/>
      <w:tblCellMar>
        <w:top w:type="dxa" w:w="0"/>
        <w:left w:type="dxa" w:w="108"/>
        <w:bottom w:type="dxa" w:w="0"/>
        <w:right w:type="dxa" w:w="108"/>
      </w:tblCellMar>
    </w:tblPr>
    <w:tcPr>
      <w:shd w:color="auto" w:fill="000000" w:themeFill="text1"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000000" w:themeFill="text1" w:themeFillShade="7F" w:val="clear"/>
      </w:tcPr>
    </w:tblStylePr>
    <w:tblStylePr w:type="firstCol">
      <w:tblPr/>
      <w:tcPr>
        <w:tcBorders>
          <w:top w:val="nil"/>
          <w:left w:val="nil"/>
          <w:bottom w:val="nil"/>
          <w:right w:color="FFFFFF" w:space="0" w:sz="18" w:themeColor="background1" w:val="single"/>
          <w:insideH w:val="nil"/>
          <w:insideV w:val="nil"/>
        </w:tcBorders>
        <w:shd w:color="auto" w:fill="000000" w:themeFill="text1" w:themeFillShade="BF" w:val="clear"/>
      </w:tcPr>
    </w:tblStylePr>
    <w:tblStylePr w:type="lastCol">
      <w:tblPr/>
      <w:tcPr>
        <w:tcBorders>
          <w:top w:val="nil"/>
          <w:left w:color="FFFFFF" w:space="0" w:sz="18" w:themeColor="background1" w:val="single"/>
          <w:bottom w:val="nil"/>
          <w:right w:val="nil"/>
          <w:insideH w:val="nil"/>
          <w:insideV w:val="nil"/>
        </w:tcBorders>
        <w:shd w:color="auto" w:fill="000000" w:themeFill="text1" w:themeFillShade="BF" w:val="clear"/>
      </w:tcPr>
    </w:tblStylePr>
    <w:tblStylePr w:type="band1Vert">
      <w:tblPr/>
      <w:tcPr>
        <w:tcBorders>
          <w:top w:val="nil"/>
          <w:left w:val="nil"/>
          <w:bottom w:val="nil"/>
          <w:right w:val="nil"/>
          <w:insideH w:val="nil"/>
          <w:insideV w:val="nil"/>
        </w:tcBorders>
        <w:shd w:color="auto" w:fill="000000" w:themeFill="text1" w:themeFillShade="BF" w:val="clear"/>
      </w:tcPr>
    </w:tblStylePr>
    <w:tblStylePr w:type="band1Horz">
      <w:tblPr/>
      <w:tcPr>
        <w:tcBorders>
          <w:top w:val="nil"/>
          <w:left w:val="nil"/>
          <w:bottom w:val="nil"/>
          <w:right w:val="nil"/>
          <w:insideH w:val="nil"/>
          <w:insideV w:val="nil"/>
        </w:tcBorders>
        <w:shd w:color="auto" w:fill="000000" w:themeFill="text1" w:themeFillShade="BF" w:val="clear"/>
      </w:tcPr>
    </w:tblStylePr>
  </w:style>
  <w:style w:styleId="DarkList-Accent1" w:type="table">
    <w:name w:val="Dark List Accent 1"/>
    <w:basedOn w:val="TableNormal"/>
    <w:uiPriority w:val="70"/>
    <w:rsid w:val="00CB0664"/>
    <w:pPr>
      <w:spacing w:after="0" w:line="240" w:lineRule="auto"/>
    </w:pPr>
    <w:rPr>
      <w:color w:themeColor="background1" w:val="FFFFFF"/>
    </w:rPr>
    <w:tblPr>
      <w:tblStyleRowBandSize w:val="1"/>
      <w:tblStyleColBandSize w:val="1"/>
      <w:tblInd w:type="dxa" w:w="0"/>
      <w:tblCellMar>
        <w:top w:type="dxa" w:w="0"/>
        <w:left w:type="dxa" w:w="108"/>
        <w:bottom w:type="dxa" w:w="0"/>
        <w:right w:type="dxa" w:w="108"/>
      </w:tblCellMar>
    </w:tblPr>
    <w:tcPr>
      <w:shd w:color="auto" w:fill="4F81BD" w:themeFill="accent1"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243F60" w:themeFill="accent1" w:themeFillShade="7F" w:val="clear"/>
      </w:tcPr>
    </w:tblStylePr>
    <w:tblStylePr w:type="firstCol">
      <w:tblPr/>
      <w:tcPr>
        <w:tcBorders>
          <w:top w:val="nil"/>
          <w:left w:val="nil"/>
          <w:bottom w:val="nil"/>
          <w:right w:color="FFFFFF" w:space="0" w:sz="18" w:themeColor="background1" w:val="single"/>
          <w:insideH w:val="nil"/>
          <w:insideV w:val="nil"/>
        </w:tcBorders>
        <w:shd w:color="auto" w:fill="365F91" w:themeFill="accent1" w:themeFillShade="BF" w:val="clear"/>
      </w:tcPr>
    </w:tblStylePr>
    <w:tblStylePr w:type="lastCol">
      <w:tblPr/>
      <w:tcPr>
        <w:tcBorders>
          <w:top w:val="nil"/>
          <w:left w:color="FFFFFF" w:space="0" w:sz="18" w:themeColor="background1" w:val="single"/>
          <w:bottom w:val="nil"/>
          <w:right w:val="nil"/>
          <w:insideH w:val="nil"/>
          <w:insideV w:val="nil"/>
        </w:tcBorders>
        <w:shd w:color="auto" w:fill="365F91" w:themeFill="accent1" w:themeFillShade="BF" w:val="clear"/>
      </w:tcPr>
    </w:tblStylePr>
    <w:tblStylePr w:type="band1Vert">
      <w:tblPr/>
      <w:tcPr>
        <w:tcBorders>
          <w:top w:val="nil"/>
          <w:left w:val="nil"/>
          <w:bottom w:val="nil"/>
          <w:right w:val="nil"/>
          <w:insideH w:val="nil"/>
          <w:insideV w:val="nil"/>
        </w:tcBorders>
        <w:shd w:color="auto" w:fill="365F91" w:themeFill="accent1" w:themeFillShade="BF" w:val="clear"/>
      </w:tcPr>
    </w:tblStylePr>
    <w:tblStylePr w:type="band1Horz">
      <w:tblPr/>
      <w:tcPr>
        <w:tcBorders>
          <w:top w:val="nil"/>
          <w:left w:val="nil"/>
          <w:bottom w:val="nil"/>
          <w:right w:val="nil"/>
          <w:insideH w:val="nil"/>
          <w:insideV w:val="nil"/>
        </w:tcBorders>
        <w:shd w:color="auto" w:fill="365F91" w:themeFill="accent1" w:themeFillShade="BF" w:val="clear"/>
      </w:tcPr>
    </w:tblStylePr>
  </w:style>
  <w:style w:styleId="DarkList-Accent2" w:type="table">
    <w:name w:val="Dark List Accent 2"/>
    <w:basedOn w:val="TableNormal"/>
    <w:uiPriority w:val="70"/>
    <w:rsid w:val="00CB0664"/>
    <w:pPr>
      <w:spacing w:after="0" w:line="240" w:lineRule="auto"/>
    </w:pPr>
    <w:rPr>
      <w:color w:themeColor="background1" w:val="FFFFFF"/>
    </w:rPr>
    <w:tblPr>
      <w:tblStyleRowBandSize w:val="1"/>
      <w:tblStyleColBandSize w:val="1"/>
      <w:tblInd w:type="dxa" w:w="0"/>
      <w:tblCellMar>
        <w:top w:type="dxa" w:w="0"/>
        <w:left w:type="dxa" w:w="108"/>
        <w:bottom w:type="dxa" w:w="0"/>
        <w:right w:type="dxa" w:w="108"/>
      </w:tblCellMar>
    </w:tblPr>
    <w:tcPr>
      <w:shd w:color="auto" w:fill="C0504D" w:themeFill="accent2"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622423" w:themeFill="accent2" w:themeFillShade="7F" w:val="clear"/>
      </w:tcPr>
    </w:tblStylePr>
    <w:tblStylePr w:type="firstCol">
      <w:tblPr/>
      <w:tcPr>
        <w:tcBorders>
          <w:top w:val="nil"/>
          <w:left w:val="nil"/>
          <w:bottom w:val="nil"/>
          <w:right w:color="FFFFFF" w:space="0" w:sz="18" w:themeColor="background1" w:val="single"/>
          <w:insideH w:val="nil"/>
          <w:insideV w:val="nil"/>
        </w:tcBorders>
        <w:shd w:color="auto" w:fill="943634" w:themeFill="accent2" w:themeFillShade="BF" w:val="clear"/>
      </w:tcPr>
    </w:tblStylePr>
    <w:tblStylePr w:type="lastCol">
      <w:tblPr/>
      <w:tcPr>
        <w:tcBorders>
          <w:top w:val="nil"/>
          <w:left w:color="FFFFFF" w:space="0" w:sz="18" w:themeColor="background1" w:val="single"/>
          <w:bottom w:val="nil"/>
          <w:right w:val="nil"/>
          <w:insideH w:val="nil"/>
          <w:insideV w:val="nil"/>
        </w:tcBorders>
        <w:shd w:color="auto" w:fill="943634" w:themeFill="accent2" w:themeFillShade="BF" w:val="clear"/>
      </w:tcPr>
    </w:tblStylePr>
    <w:tblStylePr w:type="band1Vert">
      <w:tblPr/>
      <w:tcPr>
        <w:tcBorders>
          <w:top w:val="nil"/>
          <w:left w:val="nil"/>
          <w:bottom w:val="nil"/>
          <w:right w:val="nil"/>
          <w:insideH w:val="nil"/>
          <w:insideV w:val="nil"/>
        </w:tcBorders>
        <w:shd w:color="auto" w:fill="943634" w:themeFill="accent2" w:themeFillShade="BF" w:val="clear"/>
      </w:tcPr>
    </w:tblStylePr>
    <w:tblStylePr w:type="band1Horz">
      <w:tblPr/>
      <w:tcPr>
        <w:tcBorders>
          <w:top w:val="nil"/>
          <w:left w:val="nil"/>
          <w:bottom w:val="nil"/>
          <w:right w:val="nil"/>
          <w:insideH w:val="nil"/>
          <w:insideV w:val="nil"/>
        </w:tcBorders>
        <w:shd w:color="auto" w:fill="943634" w:themeFill="accent2" w:themeFillShade="BF" w:val="clear"/>
      </w:tcPr>
    </w:tblStylePr>
  </w:style>
  <w:style w:styleId="DarkList-Accent3" w:type="table">
    <w:name w:val="Dark List Accent 3"/>
    <w:basedOn w:val="TableNormal"/>
    <w:uiPriority w:val="70"/>
    <w:rsid w:val="00CB0664"/>
    <w:pPr>
      <w:spacing w:after="0" w:line="240" w:lineRule="auto"/>
    </w:pPr>
    <w:rPr>
      <w:color w:themeColor="background1" w:val="FFFFFF"/>
    </w:rPr>
    <w:tblPr>
      <w:tblStyleRowBandSize w:val="1"/>
      <w:tblStyleColBandSize w:val="1"/>
      <w:tblInd w:type="dxa" w:w="0"/>
      <w:tblCellMar>
        <w:top w:type="dxa" w:w="0"/>
        <w:left w:type="dxa" w:w="108"/>
        <w:bottom w:type="dxa" w:w="0"/>
        <w:right w:type="dxa" w:w="108"/>
      </w:tblCellMar>
    </w:tblPr>
    <w:tcPr>
      <w:shd w:color="auto" w:fill="9BBB59" w:themeFill="accent3"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4E6128" w:themeFill="accent3" w:themeFillShade="7F" w:val="clear"/>
      </w:tcPr>
    </w:tblStylePr>
    <w:tblStylePr w:type="firstCol">
      <w:tblPr/>
      <w:tcPr>
        <w:tcBorders>
          <w:top w:val="nil"/>
          <w:left w:val="nil"/>
          <w:bottom w:val="nil"/>
          <w:right w:color="FFFFFF" w:space="0" w:sz="18" w:themeColor="background1" w:val="single"/>
          <w:insideH w:val="nil"/>
          <w:insideV w:val="nil"/>
        </w:tcBorders>
        <w:shd w:color="auto" w:fill="76923C" w:themeFill="accent3" w:themeFillShade="BF" w:val="clear"/>
      </w:tcPr>
    </w:tblStylePr>
    <w:tblStylePr w:type="lastCol">
      <w:tblPr/>
      <w:tcPr>
        <w:tcBorders>
          <w:top w:val="nil"/>
          <w:left w:color="FFFFFF" w:space="0" w:sz="18" w:themeColor="background1" w:val="single"/>
          <w:bottom w:val="nil"/>
          <w:right w:val="nil"/>
          <w:insideH w:val="nil"/>
          <w:insideV w:val="nil"/>
        </w:tcBorders>
        <w:shd w:color="auto" w:fill="76923C" w:themeFill="accent3" w:themeFillShade="BF" w:val="clear"/>
      </w:tcPr>
    </w:tblStylePr>
    <w:tblStylePr w:type="band1Vert">
      <w:tblPr/>
      <w:tcPr>
        <w:tcBorders>
          <w:top w:val="nil"/>
          <w:left w:val="nil"/>
          <w:bottom w:val="nil"/>
          <w:right w:val="nil"/>
          <w:insideH w:val="nil"/>
          <w:insideV w:val="nil"/>
        </w:tcBorders>
        <w:shd w:color="auto" w:fill="76923C" w:themeFill="accent3" w:themeFillShade="BF" w:val="clear"/>
      </w:tcPr>
    </w:tblStylePr>
    <w:tblStylePr w:type="band1Horz">
      <w:tblPr/>
      <w:tcPr>
        <w:tcBorders>
          <w:top w:val="nil"/>
          <w:left w:val="nil"/>
          <w:bottom w:val="nil"/>
          <w:right w:val="nil"/>
          <w:insideH w:val="nil"/>
          <w:insideV w:val="nil"/>
        </w:tcBorders>
        <w:shd w:color="auto" w:fill="76923C" w:themeFill="accent3" w:themeFillShade="BF" w:val="clear"/>
      </w:tcPr>
    </w:tblStylePr>
  </w:style>
  <w:style w:styleId="DarkList-Accent4" w:type="table">
    <w:name w:val="Dark List Accent 4"/>
    <w:basedOn w:val="TableNormal"/>
    <w:uiPriority w:val="70"/>
    <w:rsid w:val="00CB0664"/>
    <w:pPr>
      <w:spacing w:after="0" w:line="240" w:lineRule="auto"/>
    </w:pPr>
    <w:rPr>
      <w:color w:themeColor="background1" w:val="FFFFFF"/>
    </w:rPr>
    <w:tblPr>
      <w:tblStyleRowBandSize w:val="1"/>
      <w:tblStyleColBandSize w:val="1"/>
      <w:tblInd w:type="dxa" w:w="0"/>
      <w:tblCellMar>
        <w:top w:type="dxa" w:w="0"/>
        <w:left w:type="dxa" w:w="108"/>
        <w:bottom w:type="dxa" w:w="0"/>
        <w:right w:type="dxa" w:w="108"/>
      </w:tblCellMar>
    </w:tblPr>
    <w:tcPr>
      <w:shd w:color="auto" w:fill="8064A2" w:themeFill="accent4"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3F3151" w:themeFill="accent4" w:themeFillShade="7F" w:val="clear"/>
      </w:tcPr>
    </w:tblStylePr>
    <w:tblStylePr w:type="firstCol">
      <w:tblPr/>
      <w:tcPr>
        <w:tcBorders>
          <w:top w:val="nil"/>
          <w:left w:val="nil"/>
          <w:bottom w:val="nil"/>
          <w:right w:color="FFFFFF" w:space="0" w:sz="18" w:themeColor="background1" w:val="single"/>
          <w:insideH w:val="nil"/>
          <w:insideV w:val="nil"/>
        </w:tcBorders>
        <w:shd w:color="auto" w:fill="5F497A" w:themeFill="accent4" w:themeFillShade="BF" w:val="clear"/>
      </w:tcPr>
    </w:tblStylePr>
    <w:tblStylePr w:type="lastCol">
      <w:tblPr/>
      <w:tcPr>
        <w:tcBorders>
          <w:top w:val="nil"/>
          <w:left w:color="FFFFFF" w:space="0" w:sz="18" w:themeColor="background1" w:val="single"/>
          <w:bottom w:val="nil"/>
          <w:right w:val="nil"/>
          <w:insideH w:val="nil"/>
          <w:insideV w:val="nil"/>
        </w:tcBorders>
        <w:shd w:color="auto" w:fill="5F497A" w:themeFill="accent4" w:themeFillShade="BF" w:val="clear"/>
      </w:tcPr>
    </w:tblStylePr>
    <w:tblStylePr w:type="band1Vert">
      <w:tblPr/>
      <w:tcPr>
        <w:tcBorders>
          <w:top w:val="nil"/>
          <w:left w:val="nil"/>
          <w:bottom w:val="nil"/>
          <w:right w:val="nil"/>
          <w:insideH w:val="nil"/>
          <w:insideV w:val="nil"/>
        </w:tcBorders>
        <w:shd w:color="auto" w:fill="5F497A" w:themeFill="accent4" w:themeFillShade="BF" w:val="clear"/>
      </w:tcPr>
    </w:tblStylePr>
    <w:tblStylePr w:type="band1Horz">
      <w:tblPr/>
      <w:tcPr>
        <w:tcBorders>
          <w:top w:val="nil"/>
          <w:left w:val="nil"/>
          <w:bottom w:val="nil"/>
          <w:right w:val="nil"/>
          <w:insideH w:val="nil"/>
          <w:insideV w:val="nil"/>
        </w:tcBorders>
        <w:shd w:color="auto" w:fill="5F497A" w:themeFill="accent4" w:themeFillShade="BF" w:val="clear"/>
      </w:tcPr>
    </w:tblStylePr>
  </w:style>
  <w:style w:styleId="DarkList-Accent5" w:type="table">
    <w:name w:val="Dark List Accent 5"/>
    <w:basedOn w:val="TableNormal"/>
    <w:uiPriority w:val="70"/>
    <w:rsid w:val="00CB0664"/>
    <w:pPr>
      <w:spacing w:after="0" w:line="240" w:lineRule="auto"/>
    </w:pPr>
    <w:rPr>
      <w:color w:themeColor="background1" w:val="FFFFFF"/>
    </w:rPr>
    <w:tblPr>
      <w:tblStyleRowBandSize w:val="1"/>
      <w:tblStyleColBandSize w:val="1"/>
      <w:tblInd w:type="dxa" w:w="0"/>
      <w:tblCellMar>
        <w:top w:type="dxa" w:w="0"/>
        <w:left w:type="dxa" w:w="108"/>
        <w:bottom w:type="dxa" w:w="0"/>
        <w:right w:type="dxa" w:w="108"/>
      </w:tblCellMar>
    </w:tblPr>
    <w:tcPr>
      <w:shd w:color="auto" w:fill="4BACC6" w:themeFill="accent5"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205867" w:themeFill="accent5" w:themeFillShade="7F" w:val="clear"/>
      </w:tcPr>
    </w:tblStylePr>
    <w:tblStylePr w:type="firstCol">
      <w:tblPr/>
      <w:tcPr>
        <w:tcBorders>
          <w:top w:val="nil"/>
          <w:left w:val="nil"/>
          <w:bottom w:val="nil"/>
          <w:right w:color="FFFFFF" w:space="0" w:sz="18" w:themeColor="background1" w:val="single"/>
          <w:insideH w:val="nil"/>
          <w:insideV w:val="nil"/>
        </w:tcBorders>
        <w:shd w:color="auto" w:fill="31849B" w:themeFill="accent5" w:themeFillShade="BF" w:val="clear"/>
      </w:tcPr>
    </w:tblStylePr>
    <w:tblStylePr w:type="lastCol">
      <w:tblPr/>
      <w:tcPr>
        <w:tcBorders>
          <w:top w:val="nil"/>
          <w:left w:color="FFFFFF" w:space="0" w:sz="18" w:themeColor="background1" w:val="single"/>
          <w:bottom w:val="nil"/>
          <w:right w:val="nil"/>
          <w:insideH w:val="nil"/>
          <w:insideV w:val="nil"/>
        </w:tcBorders>
        <w:shd w:color="auto" w:fill="31849B" w:themeFill="accent5" w:themeFillShade="BF" w:val="clear"/>
      </w:tcPr>
    </w:tblStylePr>
    <w:tblStylePr w:type="band1Vert">
      <w:tblPr/>
      <w:tcPr>
        <w:tcBorders>
          <w:top w:val="nil"/>
          <w:left w:val="nil"/>
          <w:bottom w:val="nil"/>
          <w:right w:val="nil"/>
          <w:insideH w:val="nil"/>
          <w:insideV w:val="nil"/>
        </w:tcBorders>
        <w:shd w:color="auto" w:fill="31849B" w:themeFill="accent5" w:themeFillShade="BF" w:val="clear"/>
      </w:tcPr>
    </w:tblStylePr>
    <w:tblStylePr w:type="band1Horz">
      <w:tblPr/>
      <w:tcPr>
        <w:tcBorders>
          <w:top w:val="nil"/>
          <w:left w:val="nil"/>
          <w:bottom w:val="nil"/>
          <w:right w:val="nil"/>
          <w:insideH w:val="nil"/>
          <w:insideV w:val="nil"/>
        </w:tcBorders>
        <w:shd w:color="auto" w:fill="31849B" w:themeFill="accent5" w:themeFillShade="BF" w:val="clear"/>
      </w:tcPr>
    </w:tblStylePr>
  </w:style>
  <w:style w:styleId="DarkList-Accent6" w:type="table">
    <w:name w:val="Dark List Accent 6"/>
    <w:basedOn w:val="TableNormal"/>
    <w:uiPriority w:val="70"/>
    <w:rsid w:val="00CB0664"/>
    <w:pPr>
      <w:spacing w:after="0" w:line="240" w:lineRule="auto"/>
    </w:pPr>
    <w:rPr>
      <w:color w:themeColor="background1" w:val="FFFFFF"/>
    </w:rPr>
    <w:tblPr>
      <w:tblStyleRowBandSize w:val="1"/>
      <w:tblStyleColBandSize w:val="1"/>
      <w:tblInd w:type="dxa" w:w="0"/>
      <w:tblCellMar>
        <w:top w:type="dxa" w:w="0"/>
        <w:left w:type="dxa" w:w="108"/>
        <w:bottom w:type="dxa" w:w="0"/>
        <w:right w:type="dxa" w:w="108"/>
      </w:tblCellMar>
    </w:tblPr>
    <w:tcPr>
      <w:shd w:color="auto" w:fill="F79646" w:themeFill="accent6"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974706" w:themeFill="accent6" w:themeFillShade="7F" w:val="clear"/>
      </w:tcPr>
    </w:tblStylePr>
    <w:tblStylePr w:type="firstCol">
      <w:tblPr/>
      <w:tcPr>
        <w:tcBorders>
          <w:top w:val="nil"/>
          <w:left w:val="nil"/>
          <w:bottom w:val="nil"/>
          <w:right w:color="FFFFFF" w:space="0" w:sz="18" w:themeColor="background1" w:val="single"/>
          <w:insideH w:val="nil"/>
          <w:insideV w:val="nil"/>
        </w:tcBorders>
        <w:shd w:color="auto" w:fill="E36C0A" w:themeFill="accent6" w:themeFillShade="BF" w:val="clear"/>
      </w:tcPr>
    </w:tblStylePr>
    <w:tblStylePr w:type="lastCol">
      <w:tblPr/>
      <w:tcPr>
        <w:tcBorders>
          <w:top w:val="nil"/>
          <w:left w:color="FFFFFF" w:space="0" w:sz="18" w:themeColor="background1" w:val="single"/>
          <w:bottom w:val="nil"/>
          <w:right w:val="nil"/>
          <w:insideH w:val="nil"/>
          <w:insideV w:val="nil"/>
        </w:tcBorders>
        <w:shd w:color="auto" w:fill="E36C0A" w:themeFill="accent6" w:themeFillShade="BF" w:val="clear"/>
      </w:tcPr>
    </w:tblStylePr>
    <w:tblStylePr w:type="band1Vert">
      <w:tblPr/>
      <w:tcPr>
        <w:tcBorders>
          <w:top w:val="nil"/>
          <w:left w:val="nil"/>
          <w:bottom w:val="nil"/>
          <w:right w:val="nil"/>
          <w:insideH w:val="nil"/>
          <w:insideV w:val="nil"/>
        </w:tcBorders>
        <w:shd w:color="auto" w:fill="E36C0A" w:themeFill="accent6" w:themeFillShade="BF" w:val="clear"/>
      </w:tcPr>
    </w:tblStylePr>
    <w:tblStylePr w:type="band1Horz">
      <w:tblPr/>
      <w:tcPr>
        <w:tcBorders>
          <w:top w:val="nil"/>
          <w:left w:val="nil"/>
          <w:bottom w:val="nil"/>
          <w:right w:val="nil"/>
          <w:insideH w:val="nil"/>
          <w:insideV w:val="nil"/>
        </w:tcBorders>
        <w:shd w:color="auto" w:fill="E36C0A" w:themeFill="accent6" w:themeFillShade="BF" w:val="clear"/>
      </w:tcPr>
    </w:tblStylePr>
  </w:style>
  <w:style w:styleId="ColorfulShading" w:type="table">
    <w:name w:val="Colorful Shading"/>
    <w:basedOn w:val="TableNormal"/>
    <w:uiPriority w:val="71"/>
    <w:rsid w:val="00CB0664"/>
    <w:pPr>
      <w:spacing w:after="0" w:line="240" w:lineRule="auto"/>
    </w:pPr>
    <w:rPr>
      <w:color w:themeColor="text1" w:val="000000"/>
    </w:rPr>
    <w:tblPr>
      <w:tblStyleRowBandSize w:val="1"/>
      <w:tblStyleColBandSize w:val="1"/>
      <w:tblInd w:type="dxa" w:w="0"/>
      <w:tblBorders>
        <w:top w:color="C0504D" w:space="0" w:sz="24" w:themeColor="accent2" w:val="single"/>
        <w:left w:color="000000" w:space="0" w:sz="4" w:themeColor="text1" w:val="single"/>
        <w:bottom w:color="000000" w:space="0" w:sz="4" w:themeColor="text1" w:val="single"/>
        <w:right w:color="000000" w:space="0" w:sz="4" w:themeColor="text1" w:val="single"/>
        <w:insideH w:color="FFFFFF" w:space="0" w:sz="4" w:themeColor="background1" w:val="single"/>
        <w:insideV w:color="FFFFFF" w:space="0" w:sz="4" w:themeColor="background1" w:val="single"/>
      </w:tblBorders>
      <w:tblCellMar>
        <w:top w:type="dxa" w:w="0"/>
        <w:left w:type="dxa" w:w="108"/>
        <w:bottom w:type="dxa" w:w="0"/>
        <w:right w:type="dxa" w:w="108"/>
      </w:tblCellMar>
    </w:tblPr>
    <w:tcPr>
      <w:shd w:color="auto" w:fill="E6E6E6" w:themeFill="text1" w:themeFillTint="19" w:val="clear"/>
    </w:tcPr>
    <w:tblStylePr w:type="firstRow">
      <w:rPr>
        <w:b/>
        <w:bCs/>
      </w:rPr>
      <w:tblPr/>
      <w:tcPr>
        <w:tcBorders>
          <w:top w:val="nil"/>
          <w:left w:val="nil"/>
          <w:bottom w:color="C0504D" w:space="0" w:sz="24" w:themeColor="accent2"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000000" w:themeFill="text1" w:themeFillShade="99" w:val="clear"/>
      </w:tcPr>
    </w:tblStylePr>
    <w:tblStylePr w:type="firstCol">
      <w:rPr>
        <w:color w:themeColor="background1" w:val="FFFFFF"/>
      </w:rPr>
      <w:tblPr/>
      <w:tcPr>
        <w:tcBorders>
          <w:top w:val="nil"/>
          <w:left w:val="nil"/>
          <w:bottom w:val="nil"/>
          <w:right w:val="nil"/>
          <w:insideH w:color="000000" w:space="0" w:sz="4" w:themeColor="text1" w:themeShade="99" w:val="single"/>
          <w:insideV w:val="nil"/>
        </w:tcBorders>
        <w:shd w:color="auto" w:fill="000000" w:themeFill="text1" w:themeFillShade="99" w:val="clear"/>
      </w:tcPr>
    </w:tblStylePr>
    <w:tblStylePr w:type="lastCol">
      <w:rPr>
        <w:color w:themeColor="background1" w:val="FFFFFF"/>
      </w:rPr>
      <w:tblPr/>
      <w:tcPr>
        <w:tcBorders>
          <w:top w:val="nil"/>
          <w:left w:val="nil"/>
          <w:bottom w:val="nil"/>
          <w:right w:val="nil"/>
          <w:insideH w:val="nil"/>
          <w:insideV w:val="nil"/>
        </w:tcBorders>
        <w:shd w:color="auto" w:fill="000000" w:themeFill="text1" w:themeFillShade="BF" w:val="clear"/>
      </w:tcPr>
    </w:tblStylePr>
    <w:tblStylePr w:type="band1Vert">
      <w:tblPr/>
      <w:tcPr>
        <w:shd w:color="auto" w:fill="999999" w:themeFill="text1" w:themeFillTint="66" w:val="clear"/>
      </w:tcPr>
    </w:tblStylePr>
    <w:tblStylePr w:type="band1Horz">
      <w:tblPr/>
      <w:tcPr>
        <w:shd w:color="auto" w:fill="808080" w:themeFill="text1" w:themeFillTint="7F" w:val="clear"/>
      </w:tcPr>
    </w:tblStylePr>
    <w:tblStylePr w:type="neCell">
      <w:rPr>
        <w:color w:themeColor="text1" w:val="000000"/>
      </w:rPr>
    </w:tblStylePr>
    <w:tblStylePr w:type="nwCell">
      <w:rPr>
        <w:color w:themeColor="text1" w:val="000000"/>
      </w:rPr>
    </w:tblStylePr>
  </w:style>
  <w:style w:styleId="ColorfulShading-Accent1" w:type="table">
    <w:name w:val="Colorful Shading Accent 1"/>
    <w:basedOn w:val="TableNormal"/>
    <w:uiPriority w:val="71"/>
    <w:rsid w:val="00CB0664"/>
    <w:pPr>
      <w:spacing w:after="0" w:line="240" w:lineRule="auto"/>
    </w:pPr>
    <w:rPr>
      <w:color w:themeColor="text1" w:val="000000"/>
    </w:rPr>
    <w:tblPr>
      <w:tblStyleRowBandSize w:val="1"/>
      <w:tblStyleColBandSize w:val="1"/>
      <w:tblInd w:type="dxa" w:w="0"/>
      <w:tblBorders>
        <w:top w:color="C0504D" w:space="0" w:sz="24" w:themeColor="accent2" w:val="single"/>
        <w:left w:color="4F81BD" w:space="0" w:sz="4" w:themeColor="accent1" w:val="single"/>
        <w:bottom w:color="4F81BD" w:space="0" w:sz="4" w:themeColor="accent1" w:val="single"/>
        <w:right w:color="4F81BD" w:space="0" w:sz="4" w:themeColor="accent1" w:val="single"/>
        <w:insideH w:color="FFFFFF" w:space="0" w:sz="4" w:themeColor="background1" w:val="single"/>
        <w:insideV w:color="FFFFFF" w:space="0" w:sz="4" w:themeColor="background1" w:val="single"/>
      </w:tblBorders>
      <w:tblCellMar>
        <w:top w:type="dxa" w:w="0"/>
        <w:left w:type="dxa" w:w="108"/>
        <w:bottom w:type="dxa" w:w="0"/>
        <w:right w:type="dxa" w:w="108"/>
      </w:tblCellMar>
    </w:tblPr>
    <w:tcPr>
      <w:shd w:color="auto" w:fill="EDF2F8" w:themeFill="accent1" w:themeFillTint="19" w:val="clear"/>
    </w:tcPr>
    <w:tblStylePr w:type="firstRow">
      <w:rPr>
        <w:b/>
        <w:bCs/>
      </w:rPr>
      <w:tblPr/>
      <w:tcPr>
        <w:tcBorders>
          <w:top w:val="nil"/>
          <w:left w:val="nil"/>
          <w:bottom w:color="C0504D" w:space="0" w:sz="24" w:themeColor="accent2"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2C4C74" w:themeFill="accent1" w:themeFillShade="99" w:val="clear"/>
      </w:tcPr>
    </w:tblStylePr>
    <w:tblStylePr w:type="firstCol">
      <w:rPr>
        <w:color w:themeColor="background1" w:val="FFFFFF"/>
      </w:rPr>
      <w:tblPr/>
      <w:tcPr>
        <w:tcBorders>
          <w:top w:val="nil"/>
          <w:left w:val="nil"/>
          <w:bottom w:val="nil"/>
          <w:right w:val="nil"/>
          <w:insideH w:color="2C4C74" w:space="0" w:sz="4" w:themeColor="accent1" w:themeShade="99" w:val="single"/>
          <w:insideV w:val="nil"/>
        </w:tcBorders>
        <w:shd w:color="auto" w:fill="2C4C74" w:themeFill="accent1" w:themeFillShade="99" w:val="clear"/>
      </w:tcPr>
    </w:tblStylePr>
    <w:tblStylePr w:type="lastCol">
      <w:rPr>
        <w:color w:themeColor="background1" w:val="FFFFFF"/>
      </w:rPr>
      <w:tblPr/>
      <w:tcPr>
        <w:tcBorders>
          <w:top w:val="nil"/>
          <w:left w:val="nil"/>
          <w:bottom w:val="nil"/>
          <w:right w:val="nil"/>
          <w:insideH w:val="nil"/>
          <w:insideV w:val="nil"/>
        </w:tcBorders>
        <w:shd w:color="auto" w:fill="2C4C74" w:themeFill="accent1" w:themeFillShade="99" w:val="clear"/>
      </w:tcPr>
    </w:tblStylePr>
    <w:tblStylePr w:type="band1Vert">
      <w:tblPr/>
      <w:tcPr>
        <w:shd w:color="auto" w:fill="B8CCE4" w:themeFill="accent1" w:themeFillTint="66" w:val="clear"/>
      </w:tcPr>
    </w:tblStylePr>
    <w:tblStylePr w:type="band1Horz">
      <w:tblPr/>
      <w:tcPr>
        <w:shd w:color="auto" w:fill="A7BFDE" w:themeFill="accent1" w:themeFillTint="7F" w:val="clear"/>
      </w:tcPr>
    </w:tblStylePr>
    <w:tblStylePr w:type="neCell">
      <w:rPr>
        <w:color w:themeColor="text1" w:val="000000"/>
      </w:rPr>
    </w:tblStylePr>
    <w:tblStylePr w:type="nwCell">
      <w:rPr>
        <w:color w:themeColor="text1" w:val="000000"/>
      </w:rPr>
    </w:tblStylePr>
  </w:style>
  <w:style w:styleId="ColorfulShading-Accent2" w:type="table">
    <w:name w:val="Colorful Shading Accent 2"/>
    <w:basedOn w:val="TableNormal"/>
    <w:uiPriority w:val="71"/>
    <w:rsid w:val="00CB0664"/>
    <w:pPr>
      <w:spacing w:after="0" w:line="240" w:lineRule="auto"/>
    </w:pPr>
    <w:rPr>
      <w:color w:themeColor="text1" w:val="000000"/>
    </w:rPr>
    <w:tblPr>
      <w:tblStyleRowBandSize w:val="1"/>
      <w:tblStyleColBandSize w:val="1"/>
      <w:tblInd w:type="dxa" w:w="0"/>
      <w:tblBorders>
        <w:top w:color="C0504D" w:space="0" w:sz="24" w:themeColor="accent2" w:val="single"/>
        <w:left w:color="C0504D" w:space="0" w:sz="4" w:themeColor="accent2" w:val="single"/>
        <w:bottom w:color="C0504D" w:space="0" w:sz="4" w:themeColor="accent2" w:val="single"/>
        <w:right w:color="C0504D" w:space="0" w:sz="4" w:themeColor="accent2" w:val="single"/>
        <w:insideH w:color="FFFFFF" w:space="0" w:sz="4" w:themeColor="background1" w:val="single"/>
        <w:insideV w:color="FFFFFF" w:space="0" w:sz="4" w:themeColor="background1" w:val="single"/>
      </w:tblBorders>
      <w:tblCellMar>
        <w:top w:type="dxa" w:w="0"/>
        <w:left w:type="dxa" w:w="108"/>
        <w:bottom w:type="dxa" w:w="0"/>
        <w:right w:type="dxa" w:w="108"/>
      </w:tblCellMar>
    </w:tblPr>
    <w:tcPr>
      <w:shd w:color="auto" w:fill="F8EDED" w:themeFill="accent2" w:themeFillTint="19" w:val="clear"/>
    </w:tcPr>
    <w:tblStylePr w:type="firstRow">
      <w:rPr>
        <w:b/>
        <w:bCs/>
      </w:rPr>
      <w:tblPr/>
      <w:tcPr>
        <w:tcBorders>
          <w:top w:val="nil"/>
          <w:left w:val="nil"/>
          <w:bottom w:color="C0504D" w:space="0" w:sz="24" w:themeColor="accent2"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772C2A" w:themeFill="accent2" w:themeFillShade="99" w:val="clear"/>
      </w:tcPr>
    </w:tblStylePr>
    <w:tblStylePr w:type="firstCol">
      <w:rPr>
        <w:color w:themeColor="background1" w:val="FFFFFF"/>
      </w:rPr>
      <w:tblPr/>
      <w:tcPr>
        <w:tcBorders>
          <w:top w:val="nil"/>
          <w:left w:val="nil"/>
          <w:bottom w:val="nil"/>
          <w:right w:val="nil"/>
          <w:insideH w:color="772C2A" w:space="0" w:sz="4" w:themeColor="accent2" w:themeShade="99" w:val="single"/>
          <w:insideV w:val="nil"/>
        </w:tcBorders>
        <w:shd w:color="auto" w:fill="772C2A" w:themeFill="accent2" w:themeFillShade="99" w:val="clear"/>
      </w:tcPr>
    </w:tblStylePr>
    <w:tblStylePr w:type="lastCol">
      <w:rPr>
        <w:color w:themeColor="background1" w:val="FFFFFF"/>
      </w:rPr>
      <w:tblPr/>
      <w:tcPr>
        <w:tcBorders>
          <w:top w:val="nil"/>
          <w:left w:val="nil"/>
          <w:bottom w:val="nil"/>
          <w:right w:val="nil"/>
          <w:insideH w:val="nil"/>
          <w:insideV w:val="nil"/>
        </w:tcBorders>
        <w:shd w:color="auto" w:fill="772C2A" w:themeFill="accent2" w:themeFillShade="99" w:val="clear"/>
      </w:tcPr>
    </w:tblStylePr>
    <w:tblStylePr w:type="band1Vert">
      <w:tblPr/>
      <w:tcPr>
        <w:shd w:color="auto" w:fill="E5B8B7" w:themeFill="accent2" w:themeFillTint="66" w:val="clear"/>
      </w:tcPr>
    </w:tblStylePr>
    <w:tblStylePr w:type="band1Horz">
      <w:tblPr/>
      <w:tcPr>
        <w:shd w:color="auto" w:fill="DFA7A6" w:themeFill="accent2" w:themeFillTint="7F" w:val="clear"/>
      </w:tcPr>
    </w:tblStylePr>
    <w:tblStylePr w:type="neCell">
      <w:rPr>
        <w:color w:themeColor="text1" w:val="000000"/>
      </w:rPr>
    </w:tblStylePr>
    <w:tblStylePr w:type="nwCell">
      <w:rPr>
        <w:color w:themeColor="text1" w:val="000000"/>
      </w:rPr>
    </w:tblStylePr>
  </w:style>
  <w:style w:styleId="ColorfulShading-Accent3" w:type="table">
    <w:name w:val="Colorful Shading Accent 3"/>
    <w:basedOn w:val="TableNormal"/>
    <w:uiPriority w:val="71"/>
    <w:rsid w:val="00CB0664"/>
    <w:pPr>
      <w:spacing w:after="0" w:line="240" w:lineRule="auto"/>
    </w:pPr>
    <w:rPr>
      <w:color w:themeColor="text1" w:val="000000"/>
    </w:rPr>
    <w:tblPr>
      <w:tblStyleRowBandSize w:val="1"/>
      <w:tblStyleColBandSize w:val="1"/>
      <w:tblInd w:type="dxa" w:w="0"/>
      <w:tblBorders>
        <w:top w:color="8064A2" w:space="0" w:sz="24" w:themeColor="accent4" w:val="single"/>
        <w:left w:color="9BBB59" w:space="0" w:sz="4" w:themeColor="accent3" w:val="single"/>
        <w:bottom w:color="9BBB59" w:space="0" w:sz="4" w:themeColor="accent3" w:val="single"/>
        <w:right w:color="9BBB59" w:space="0" w:sz="4" w:themeColor="accent3" w:val="single"/>
        <w:insideH w:color="FFFFFF" w:space="0" w:sz="4" w:themeColor="background1" w:val="single"/>
        <w:insideV w:color="FFFFFF" w:space="0" w:sz="4" w:themeColor="background1" w:val="single"/>
      </w:tblBorders>
      <w:tblCellMar>
        <w:top w:type="dxa" w:w="0"/>
        <w:left w:type="dxa" w:w="108"/>
        <w:bottom w:type="dxa" w:w="0"/>
        <w:right w:type="dxa" w:w="108"/>
      </w:tblCellMar>
    </w:tblPr>
    <w:tcPr>
      <w:shd w:color="auto" w:fill="F5F8EE" w:themeFill="accent3" w:themeFillTint="19" w:val="clear"/>
    </w:tcPr>
    <w:tblStylePr w:type="firstRow">
      <w:rPr>
        <w:b/>
        <w:bCs/>
      </w:rPr>
      <w:tblPr/>
      <w:tcPr>
        <w:tcBorders>
          <w:top w:val="nil"/>
          <w:left w:val="nil"/>
          <w:bottom w:color="8064A2" w:space="0" w:sz="24" w:themeColor="accent4"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5E7530" w:themeFill="accent3" w:themeFillShade="99" w:val="clear"/>
      </w:tcPr>
    </w:tblStylePr>
    <w:tblStylePr w:type="firstCol">
      <w:rPr>
        <w:color w:themeColor="background1" w:val="FFFFFF"/>
      </w:rPr>
      <w:tblPr/>
      <w:tcPr>
        <w:tcBorders>
          <w:top w:val="nil"/>
          <w:left w:val="nil"/>
          <w:bottom w:val="nil"/>
          <w:right w:val="nil"/>
          <w:insideH w:color="5E7530" w:space="0" w:sz="4" w:themeColor="accent3" w:themeShade="99" w:val="single"/>
          <w:insideV w:val="nil"/>
        </w:tcBorders>
        <w:shd w:color="auto" w:fill="5E7530" w:themeFill="accent3" w:themeFillShade="99" w:val="clear"/>
      </w:tcPr>
    </w:tblStylePr>
    <w:tblStylePr w:type="lastCol">
      <w:rPr>
        <w:color w:themeColor="background1" w:val="FFFFFF"/>
      </w:rPr>
      <w:tblPr/>
      <w:tcPr>
        <w:tcBorders>
          <w:top w:val="nil"/>
          <w:left w:val="nil"/>
          <w:bottom w:val="nil"/>
          <w:right w:val="nil"/>
          <w:insideH w:val="nil"/>
          <w:insideV w:val="nil"/>
        </w:tcBorders>
        <w:shd w:color="auto" w:fill="5E7530" w:themeFill="accent3" w:themeFillShade="99" w:val="clear"/>
      </w:tcPr>
    </w:tblStylePr>
    <w:tblStylePr w:type="band1Vert">
      <w:tblPr/>
      <w:tcPr>
        <w:shd w:color="auto" w:fill="D6E3BC" w:themeFill="accent3" w:themeFillTint="66" w:val="clear"/>
      </w:tcPr>
    </w:tblStylePr>
    <w:tblStylePr w:type="band1Horz">
      <w:tblPr/>
      <w:tcPr>
        <w:shd w:color="auto" w:fill="CDDDAC" w:themeFill="accent3" w:themeFillTint="7F" w:val="clear"/>
      </w:tcPr>
    </w:tblStylePr>
  </w:style>
  <w:style w:styleId="ColorfulShading-Accent4" w:type="table">
    <w:name w:val="Colorful Shading Accent 4"/>
    <w:basedOn w:val="TableNormal"/>
    <w:uiPriority w:val="71"/>
    <w:rsid w:val="00CB0664"/>
    <w:pPr>
      <w:spacing w:after="0" w:line="240" w:lineRule="auto"/>
    </w:pPr>
    <w:rPr>
      <w:color w:themeColor="text1" w:val="000000"/>
    </w:rPr>
    <w:tblPr>
      <w:tblStyleRowBandSize w:val="1"/>
      <w:tblStyleColBandSize w:val="1"/>
      <w:tblInd w:type="dxa" w:w="0"/>
      <w:tblBorders>
        <w:top w:color="9BBB59" w:space="0" w:sz="24" w:themeColor="accent3" w:val="single"/>
        <w:left w:color="8064A2" w:space="0" w:sz="4" w:themeColor="accent4" w:val="single"/>
        <w:bottom w:color="8064A2" w:space="0" w:sz="4" w:themeColor="accent4" w:val="single"/>
        <w:right w:color="8064A2" w:space="0" w:sz="4" w:themeColor="accent4" w:val="single"/>
        <w:insideH w:color="FFFFFF" w:space="0" w:sz="4" w:themeColor="background1" w:val="single"/>
        <w:insideV w:color="FFFFFF" w:space="0" w:sz="4" w:themeColor="background1" w:val="single"/>
      </w:tblBorders>
      <w:tblCellMar>
        <w:top w:type="dxa" w:w="0"/>
        <w:left w:type="dxa" w:w="108"/>
        <w:bottom w:type="dxa" w:w="0"/>
        <w:right w:type="dxa" w:w="108"/>
      </w:tblCellMar>
    </w:tblPr>
    <w:tcPr>
      <w:shd w:color="auto" w:fill="F2EFF6" w:themeFill="accent4" w:themeFillTint="19" w:val="clear"/>
    </w:tcPr>
    <w:tblStylePr w:type="firstRow">
      <w:rPr>
        <w:b/>
        <w:bCs/>
      </w:rPr>
      <w:tblPr/>
      <w:tcPr>
        <w:tcBorders>
          <w:top w:val="nil"/>
          <w:left w:val="nil"/>
          <w:bottom w:color="9BBB59" w:space="0" w:sz="24" w:themeColor="accent3"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4C3B62" w:themeFill="accent4" w:themeFillShade="99" w:val="clear"/>
      </w:tcPr>
    </w:tblStylePr>
    <w:tblStylePr w:type="firstCol">
      <w:rPr>
        <w:color w:themeColor="background1" w:val="FFFFFF"/>
      </w:rPr>
      <w:tblPr/>
      <w:tcPr>
        <w:tcBorders>
          <w:top w:val="nil"/>
          <w:left w:val="nil"/>
          <w:bottom w:val="nil"/>
          <w:right w:val="nil"/>
          <w:insideH w:color="4C3B62" w:space="0" w:sz="4" w:themeColor="accent4" w:themeShade="99" w:val="single"/>
          <w:insideV w:val="nil"/>
        </w:tcBorders>
        <w:shd w:color="auto" w:fill="4C3B62" w:themeFill="accent4" w:themeFillShade="99" w:val="clear"/>
      </w:tcPr>
    </w:tblStylePr>
    <w:tblStylePr w:type="lastCol">
      <w:rPr>
        <w:color w:themeColor="background1" w:val="FFFFFF"/>
      </w:rPr>
      <w:tblPr/>
      <w:tcPr>
        <w:tcBorders>
          <w:top w:val="nil"/>
          <w:left w:val="nil"/>
          <w:bottom w:val="nil"/>
          <w:right w:val="nil"/>
          <w:insideH w:val="nil"/>
          <w:insideV w:val="nil"/>
        </w:tcBorders>
        <w:shd w:color="auto" w:fill="4C3B62" w:themeFill="accent4" w:themeFillShade="99" w:val="clear"/>
      </w:tcPr>
    </w:tblStylePr>
    <w:tblStylePr w:type="band1Vert">
      <w:tblPr/>
      <w:tcPr>
        <w:shd w:color="auto" w:fill="CCC0D9" w:themeFill="accent4" w:themeFillTint="66" w:val="clear"/>
      </w:tcPr>
    </w:tblStylePr>
    <w:tblStylePr w:type="band1Horz">
      <w:tblPr/>
      <w:tcPr>
        <w:shd w:color="auto" w:fill="BFB1D0" w:themeFill="accent4" w:themeFillTint="7F" w:val="clear"/>
      </w:tcPr>
    </w:tblStylePr>
    <w:tblStylePr w:type="neCell">
      <w:rPr>
        <w:color w:themeColor="text1" w:val="000000"/>
      </w:rPr>
    </w:tblStylePr>
    <w:tblStylePr w:type="nwCell">
      <w:rPr>
        <w:color w:themeColor="text1" w:val="000000"/>
      </w:rPr>
    </w:tblStylePr>
  </w:style>
  <w:style w:styleId="ColorfulShading-Accent5" w:type="table">
    <w:name w:val="Colorful Shading Accent 5"/>
    <w:basedOn w:val="TableNormal"/>
    <w:uiPriority w:val="71"/>
    <w:rsid w:val="00CB0664"/>
    <w:pPr>
      <w:spacing w:after="0" w:line="240" w:lineRule="auto"/>
    </w:pPr>
    <w:rPr>
      <w:color w:themeColor="text1" w:val="000000"/>
    </w:rPr>
    <w:tblPr>
      <w:tblStyleRowBandSize w:val="1"/>
      <w:tblStyleColBandSize w:val="1"/>
      <w:tblInd w:type="dxa" w:w="0"/>
      <w:tblBorders>
        <w:top w:color="F79646" w:space="0" w:sz="24" w:themeColor="accent6" w:val="single"/>
        <w:left w:color="4BACC6" w:space="0" w:sz="4" w:themeColor="accent5" w:val="single"/>
        <w:bottom w:color="4BACC6" w:space="0" w:sz="4" w:themeColor="accent5" w:val="single"/>
        <w:right w:color="4BACC6" w:space="0" w:sz="4" w:themeColor="accent5" w:val="single"/>
        <w:insideH w:color="FFFFFF" w:space="0" w:sz="4" w:themeColor="background1" w:val="single"/>
        <w:insideV w:color="FFFFFF" w:space="0" w:sz="4" w:themeColor="background1" w:val="single"/>
      </w:tblBorders>
      <w:tblCellMar>
        <w:top w:type="dxa" w:w="0"/>
        <w:left w:type="dxa" w:w="108"/>
        <w:bottom w:type="dxa" w:w="0"/>
        <w:right w:type="dxa" w:w="108"/>
      </w:tblCellMar>
    </w:tblPr>
    <w:tcPr>
      <w:shd w:color="auto" w:fill="EDF6F9" w:themeFill="accent5" w:themeFillTint="19" w:val="clear"/>
    </w:tcPr>
    <w:tblStylePr w:type="firstRow">
      <w:rPr>
        <w:b/>
        <w:bCs/>
      </w:rPr>
      <w:tblPr/>
      <w:tcPr>
        <w:tcBorders>
          <w:top w:val="nil"/>
          <w:left w:val="nil"/>
          <w:bottom w:color="F79646" w:space="0" w:sz="24" w:themeColor="accent6"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276A7C" w:themeFill="accent5" w:themeFillShade="99" w:val="clear"/>
      </w:tcPr>
    </w:tblStylePr>
    <w:tblStylePr w:type="firstCol">
      <w:rPr>
        <w:color w:themeColor="background1" w:val="FFFFFF"/>
      </w:rPr>
      <w:tblPr/>
      <w:tcPr>
        <w:tcBorders>
          <w:top w:val="nil"/>
          <w:left w:val="nil"/>
          <w:bottom w:val="nil"/>
          <w:right w:val="nil"/>
          <w:insideH w:color="276A7C" w:space="0" w:sz="4" w:themeColor="accent5" w:themeShade="99" w:val="single"/>
          <w:insideV w:val="nil"/>
        </w:tcBorders>
        <w:shd w:color="auto" w:fill="276A7C" w:themeFill="accent5" w:themeFillShade="99" w:val="clear"/>
      </w:tcPr>
    </w:tblStylePr>
    <w:tblStylePr w:type="lastCol">
      <w:rPr>
        <w:color w:themeColor="background1" w:val="FFFFFF"/>
      </w:rPr>
      <w:tblPr/>
      <w:tcPr>
        <w:tcBorders>
          <w:top w:val="nil"/>
          <w:left w:val="nil"/>
          <w:bottom w:val="nil"/>
          <w:right w:val="nil"/>
          <w:insideH w:val="nil"/>
          <w:insideV w:val="nil"/>
        </w:tcBorders>
        <w:shd w:color="auto" w:fill="276A7C" w:themeFill="accent5" w:themeFillShade="99" w:val="clear"/>
      </w:tcPr>
    </w:tblStylePr>
    <w:tblStylePr w:type="band1Vert">
      <w:tblPr/>
      <w:tcPr>
        <w:shd w:color="auto" w:fill="B6DDE8" w:themeFill="accent5" w:themeFillTint="66" w:val="clear"/>
      </w:tcPr>
    </w:tblStylePr>
    <w:tblStylePr w:type="band1Horz">
      <w:tblPr/>
      <w:tcPr>
        <w:shd w:color="auto" w:fill="A5D5E2" w:themeFill="accent5" w:themeFillTint="7F" w:val="clear"/>
      </w:tcPr>
    </w:tblStylePr>
    <w:tblStylePr w:type="neCell">
      <w:rPr>
        <w:color w:themeColor="text1" w:val="000000"/>
      </w:rPr>
    </w:tblStylePr>
    <w:tblStylePr w:type="nwCell">
      <w:rPr>
        <w:color w:themeColor="text1" w:val="000000"/>
      </w:rPr>
    </w:tblStylePr>
  </w:style>
  <w:style w:styleId="ColorfulShading-Accent6" w:type="table">
    <w:name w:val="Colorful Shading Accent 6"/>
    <w:basedOn w:val="TableNormal"/>
    <w:uiPriority w:val="71"/>
    <w:rsid w:val="00CB0664"/>
    <w:pPr>
      <w:spacing w:after="0" w:line="240" w:lineRule="auto"/>
    </w:pPr>
    <w:rPr>
      <w:color w:themeColor="text1" w:val="000000"/>
    </w:rPr>
    <w:tblPr>
      <w:tblStyleRowBandSize w:val="1"/>
      <w:tblStyleColBandSize w:val="1"/>
      <w:tblInd w:type="dxa" w:w="0"/>
      <w:tblBorders>
        <w:top w:color="4BACC6" w:space="0" w:sz="24" w:themeColor="accent5" w:val="single"/>
        <w:left w:color="F79646" w:space="0" w:sz="4" w:themeColor="accent6" w:val="single"/>
        <w:bottom w:color="F79646" w:space="0" w:sz="4" w:themeColor="accent6" w:val="single"/>
        <w:right w:color="F79646" w:space="0" w:sz="4" w:themeColor="accent6" w:val="single"/>
        <w:insideH w:color="FFFFFF" w:space="0" w:sz="4" w:themeColor="background1" w:val="single"/>
        <w:insideV w:color="FFFFFF" w:space="0" w:sz="4" w:themeColor="background1" w:val="single"/>
      </w:tblBorders>
      <w:tblCellMar>
        <w:top w:type="dxa" w:w="0"/>
        <w:left w:type="dxa" w:w="108"/>
        <w:bottom w:type="dxa" w:w="0"/>
        <w:right w:type="dxa" w:w="108"/>
      </w:tblCellMar>
    </w:tblPr>
    <w:tcPr>
      <w:shd w:color="auto" w:fill="FEF4EC" w:themeFill="accent6" w:themeFillTint="19" w:val="clear"/>
    </w:tcPr>
    <w:tblStylePr w:type="firstRow">
      <w:rPr>
        <w:b/>
        <w:bCs/>
      </w:rPr>
      <w:tblPr/>
      <w:tcPr>
        <w:tcBorders>
          <w:top w:val="nil"/>
          <w:left w:val="nil"/>
          <w:bottom w:color="4BACC6" w:space="0" w:sz="24" w:themeColor="accent5"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B65608" w:themeFill="accent6" w:themeFillShade="99" w:val="clear"/>
      </w:tcPr>
    </w:tblStylePr>
    <w:tblStylePr w:type="firstCol">
      <w:rPr>
        <w:color w:themeColor="background1" w:val="FFFFFF"/>
      </w:rPr>
      <w:tblPr/>
      <w:tcPr>
        <w:tcBorders>
          <w:top w:val="nil"/>
          <w:left w:val="nil"/>
          <w:bottom w:val="nil"/>
          <w:right w:val="nil"/>
          <w:insideH w:color="B65608" w:space="0" w:sz="4" w:themeColor="accent6" w:themeShade="99" w:val="single"/>
          <w:insideV w:val="nil"/>
        </w:tcBorders>
        <w:shd w:color="auto" w:fill="B65608" w:themeFill="accent6" w:themeFillShade="99" w:val="clear"/>
      </w:tcPr>
    </w:tblStylePr>
    <w:tblStylePr w:type="lastCol">
      <w:rPr>
        <w:color w:themeColor="background1" w:val="FFFFFF"/>
      </w:rPr>
      <w:tblPr/>
      <w:tcPr>
        <w:tcBorders>
          <w:top w:val="nil"/>
          <w:left w:val="nil"/>
          <w:bottom w:val="nil"/>
          <w:right w:val="nil"/>
          <w:insideH w:val="nil"/>
          <w:insideV w:val="nil"/>
        </w:tcBorders>
        <w:shd w:color="auto" w:fill="B65608" w:themeFill="accent6" w:themeFillShade="99" w:val="clear"/>
      </w:tcPr>
    </w:tblStylePr>
    <w:tblStylePr w:type="band1Vert">
      <w:tblPr/>
      <w:tcPr>
        <w:shd w:color="auto" w:fill="FBD4B4" w:themeFill="accent6" w:themeFillTint="66" w:val="clear"/>
      </w:tcPr>
    </w:tblStylePr>
    <w:tblStylePr w:type="band1Horz">
      <w:tblPr/>
      <w:tcPr>
        <w:shd w:color="auto" w:fill="FBCAA2" w:themeFill="accent6" w:themeFillTint="7F" w:val="clear"/>
      </w:tcPr>
    </w:tblStylePr>
    <w:tblStylePr w:type="neCell">
      <w:rPr>
        <w:color w:themeColor="text1" w:val="000000"/>
      </w:rPr>
    </w:tblStylePr>
    <w:tblStylePr w:type="nwCell">
      <w:rPr>
        <w:color w:themeColor="text1" w:val="000000"/>
      </w:rPr>
    </w:tblStylePr>
  </w:style>
  <w:style w:styleId="ColorfulList" w:type="table">
    <w:name w:val="Colorful List"/>
    <w:basedOn w:val="TableNormal"/>
    <w:uiPriority w:val="72"/>
    <w:rsid w:val="00CB0664"/>
    <w:pPr>
      <w:spacing w:after="0" w:line="240" w:lineRule="auto"/>
    </w:pPr>
    <w:rPr>
      <w:color w:themeColor="text1" w:val="000000"/>
    </w:rPr>
    <w:tblPr>
      <w:tblStyleRowBandSize w:val="1"/>
      <w:tblStyleColBandSize w:val="1"/>
      <w:tblInd w:type="dxa" w:w="0"/>
      <w:tblCellMar>
        <w:top w:type="dxa" w:w="0"/>
        <w:left w:type="dxa" w:w="108"/>
        <w:bottom w:type="dxa" w:w="0"/>
        <w:right w:type="dxa" w:w="108"/>
      </w:tblCellMar>
    </w:tblPr>
    <w:tcPr>
      <w:shd w:color="auto" w:fill="E6E6E6" w:themeFill="text1" w:themeFillTint="19" w:val="clear"/>
    </w:tcPr>
    <w:tblStylePr w:type="firstRow">
      <w:rPr>
        <w:b/>
        <w:bCs/>
        <w:color w:themeColor="background1" w:val="FFFFFF"/>
      </w:rPr>
      <w:tblPr/>
      <w:tcPr>
        <w:tcBorders>
          <w:bottom w:color="FFFFFF" w:space="0" w:sz="12" w:themeColor="background1" w:val="single"/>
        </w:tcBorders>
        <w:shd w:color="auto" w:fill="9E3A38" w:themeFill="accent2" w:themeFillShade="CC" w:val="clear"/>
      </w:tcPr>
    </w:tblStylePr>
    <w:tblStylePr w:type="lastRow">
      <w:rPr>
        <w:b/>
        <w:bCs/>
        <w:color w:themeColor="accent2" w:themeShade="CC" w:val="9E3A38"/>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C0C0C0" w:themeFill="text1" w:themeFillTint="3F" w:val="clear"/>
      </w:tcPr>
    </w:tblStylePr>
    <w:tblStylePr w:type="band1Horz">
      <w:tblPr/>
      <w:tcPr>
        <w:shd w:color="auto" w:fill="CCCCCC" w:themeFill="text1" w:themeFillTint="33" w:val="clear"/>
      </w:tcPr>
    </w:tblStylePr>
  </w:style>
  <w:style w:styleId="ColorfulList-Accent1" w:type="table">
    <w:name w:val="Colorful List Accent 1"/>
    <w:basedOn w:val="TableNormal"/>
    <w:uiPriority w:val="72"/>
    <w:rsid w:val="00CB0664"/>
    <w:pPr>
      <w:spacing w:after="0" w:line="240" w:lineRule="auto"/>
    </w:pPr>
    <w:rPr>
      <w:color w:themeColor="text1" w:val="000000"/>
    </w:rPr>
    <w:tblPr>
      <w:tblStyleRowBandSize w:val="1"/>
      <w:tblStyleColBandSize w:val="1"/>
      <w:tblInd w:type="dxa" w:w="0"/>
      <w:tblCellMar>
        <w:top w:type="dxa" w:w="0"/>
        <w:left w:type="dxa" w:w="108"/>
        <w:bottom w:type="dxa" w:w="0"/>
        <w:right w:type="dxa" w:w="108"/>
      </w:tblCellMar>
    </w:tblPr>
    <w:tcPr>
      <w:shd w:color="auto" w:fill="EDF2F8" w:themeFill="accent1" w:themeFillTint="19" w:val="clear"/>
    </w:tcPr>
    <w:tblStylePr w:type="firstRow">
      <w:rPr>
        <w:b/>
        <w:bCs/>
        <w:color w:themeColor="background1" w:val="FFFFFF"/>
      </w:rPr>
      <w:tblPr/>
      <w:tcPr>
        <w:tcBorders>
          <w:bottom w:color="FFFFFF" w:space="0" w:sz="12" w:themeColor="background1" w:val="single"/>
        </w:tcBorders>
        <w:shd w:color="auto" w:fill="9E3A38" w:themeFill="accent2" w:themeFillShade="CC" w:val="clear"/>
      </w:tcPr>
    </w:tblStylePr>
    <w:tblStylePr w:type="lastRow">
      <w:rPr>
        <w:b/>
        <w:bCs/>
        <w:color w:themeColor="accent2" w:themeShade="CC" w:val="9E3A38"/>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D3DFEE" w:themeFill="accent1" w:themeFillTint="3F" w:val="clear"/>
      </w:tcPr>
    </w:tblStylePr>
    <w:tblStylePr w:type="band1Horz">
      <w:tblPr/>
      <w:tcPr>
        <w:shd w:color="auto" w:fill="DBE5F1" w:themeFill="accent1" w:themeFillTint="33" w:val="clear"/>
      </w:tcPr>
    </w:tblStylePr>
  </w:style>
  <w:style w:styleId="ColorfulList-Accent2" w:type="table">
    <w:name w:val="Colorful List Accent 2"/>
    <w:basedOn w:val="TableNormal"/>
    <w:uiPriority w:val="72"/>
    <w:rsid w:val="00CB0664"/>
    <w:pPr>
      <w:spacing w:after="0" w:line="240" w:lineRule="auto"/>
    </w:pPr>
    <w:rPr>
      <w:color w:themeColor="text1" w:val="000000"/>
    </w:rPr>
    <w:tblPr>
      <w:tblStyleRowBandSize w:val="1"/>
      <w:tblStyleColBandSize w:val="1"/>
      <w:tblInd w:type="dxa" w:w="0"/>
      <w:tblCellMar>
        <w:top w:type="dxa" w:w="0"/>
        <w:left w:type="dxa" w:w="108"/>
        <w:bottom w:type="dxa" w:w="0"/>
        <w:right w:type="dxa" w:w="108"/>
      </w:tblCellMar>
    </w:tblPr>
    <w:tcPr>
      <w:shd w:color="auto" w:fill="F8EDED" w:themeFill="accent2" w:themeFillTint="19" w:val="clear"/>
    </w:tcPr>
    <w:tblStylePr w:type="firstRow">
      <w:rPr>
        <w:b/>
        <w:bCs/>
        <w:color w:themeColor="background1" w:val="FFFFFF"/>
      </w:rPr>
      <w:tblPr/>
      <w:tcPr>
        <w:tcBorders>
          <w:bottom w:color="FFFFFF" w:space="0" w:sz="12" w:themeColor="background1" w:val="single"/>
        </w:tcBorders>
        <w:shd w:color="auto" w:fill="9E3A38" w:themeFill="accent2" w:themeFillShade="CC" w:val="clear"/>
      </w:tcPr>
    </w:tblStylePr>
    <w:tblStylePr w:type="lastRow">
      <w:rPr>
        <w:b/>
        <w:bCs/>
        <w:color w:themeColor="accent2" w:themeShade="CC" w:val="9E3A38"/>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EFD3D2" w:themeFill="accent2" w:themeFillTint="3F" w:val="clear"/>
      </w:tcPr>
    </w:tblStylePr>
    <w:tblStylePr w:type="band1Horz">
      <w:tblPr/>
      <w:tcPr>
        <w:shd w:color="auto" w:fill="F2DBDB" w:themeFill="accent2" w:themeFillTint="33" w:val="clear"/>
      </w:tcPr>
    </w:tblStylePr>
  </w:style>
  <w:style w:styleId="ColorfulList-Accent3" w:type="table">
    <w:name w:val="Colorful List Accent 3"/>
    <w:basedOn w:val="TableNormal"/>
    <w:uiPriority w:val="72"/>
    <w:rsid w:val="00CB0664"/>
    <w:pPr>
      <w:spacing w:after="0" w:line="240" w:lineRule="auto"/>
    </w:pPr>
    <w:rPr>
      <w:color w:themeColor="text1" w:val="000000"/>
    </w:rPr>
    <w:tblPr>
      <w:tblStyleRowBandSize w:val="1"/>
      <w:tblStyleColBandSize w:val="1"/>
      <w:tblInd w:type="dxa" w:w="0"/>
      <w:tblCellMar>
        <w:top w:type="dxa" w:w="0"/>
        <w:left w:type="dxa" w:w="108"/>
        <w:bottom w:type="dxa" w:w="0"/>
        <w:right w:type="dxa" w:w="108"/>
      </w:tblCellMar>
    </w:tblPr>
    <w:tcPr>
      <w:shd w:color="auto" w:fill="F5F8EE" w:themeFill="accent3" w:themeFillTint="19" w:val="clear"/>
    </w:tcPr>
    <w:tblStylePr w:type="firstRow">
      <w:rPr>
        <w:b/>
        <w:bCs/>
        <w:color w:themeColor="background1" w:val="FFFFFF"/>
      </w:rPr>
      <w:tblPr/>
      <w:tcPr>
        <w:tcBorders>
          <w:bottom w:color="FFFFFF" w:space="0" w:sz="12" w:themeColor="background1" w:val="single"/>
        </w:tcBorders>
        <w:shd w:color="auto" w:fill="664E82" w:themeFill="accent4" w:themeFillShade="CC" w:val="clear"/>
      </w:tcPr>
    </w:tblStylePr>
    <w:tblStylePr w:type="lastRow">
      <w:rPr>
        <w:b/>
        <w:bCs/>
        <w:color w:themeColor="accent4" w:themeShade="CC" w:val="664E82"/>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E6EED5" w:themeFill="accent3" w:themeFillTint="3F" w:val="clear"/>
      </w:tcPr>
    </w:tblStylePr>
    <w:tblStylePr w:type="band1Horz">
      <w:tblPr/>
      <w:tcPr>
        <w:shd w:color="auto" w:fill="EAF1DD" w:themeFill="accent3" w:themeFillTint="33" w:val="clear"/>
      </w:tcPr>
    </w:tblStylePr>
  </w:style>
  <w:style w:styleId="ColorfulList-Accent4" w:type="table">
    <w:name w:val="Colorful List Accent 4"/>
    <w:basedOn w:val="TableNormal"/>
    <w:uiPriority w:val="72"/>
    <w:rsid w:val="00CB0664"/>
    <w:pPr>
      <w:spacing w:after="0" w:line="240" w:lineRule="auto"/>
    </w:pPr>
    <w:rPr>
      <w:color w:themeColor="text1" w:val="000000"/>
    </w:rPr>
    <w:tblPr>
      <w:tblStyleRowBandSize w:val="1"/>
      <w:tblStyleColBandSize w:val="1"/>
      <w:tblInd w:type="dxa" w:w="0"/>
      <w:tblCellMar>
        <w:top w:type="dxa" w:w="0"/>
        <w:left w:type="dxa" w:w="108"/>
        <w:bottom w:type="dxa" w:w="0"/>
        <w:right w:type="dxa" w:w="108"/>
      </w:tblCellMar>
    </w:tblPr>
    <w:tcPr>
      <w:shd w:color="auto" w:fill="F2EFF6" w:themeFill="accent4" w:themeFillTint="19" w:val="clear"/>
    </w:tcPr>
    <w:tblStylePr w:type="firstRow">
      <w:rPr>
        <w:b/>
        <w:bCs/>
        <w:color w:themeColor="background1" w:val="FFFFFF"/>
      </w:rPr>
      <w:tblPr/>
      <w:tcPr>
        <w:tcBorders>
          <w:bottom w:color="FFFFFF" w:space="0" w:sz="12" w:themeColor="background1" w:val="single"/>
        </w:tcBorders>
        <w:shd w:color="auto" w:fill="7E9C40" w:themeFill="accent3" w:themeFillShade="CC" w:val="clear"/>
      </w:tcPr>
    </w:tblStylePr>
    <w:tblStylePr w:type="lastRow">
      <w:rPr>
        <w:b/>
        <w:bCs/>
        <w:color w:themeColor="accent3" w:themeShade="CC" w:val="7E9C40"/>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DFD8E8" w:themeFill="accent4" w:themeFillTint="3F" w:val="clear"/>
      </w:tcPr>
    </w:tblStylePr>
    <w:tblStylePr w:type="band1Horz">
      <w:tblPr/>
      <w:tcPr>
        <w:shd w:color="auto" w:fill="E5DFEC" w:themeFill="accent4" w:themeFillTint="33" w:val="clear"/>
      </w:tcPr>
    </w:tblStylePr>
  </w:style>
  <w:style w:styleId="ColorfulList-Accent5" w:type="table">
    <w:name w:val="Colorful List Accent 5"/>
    <w:basedOn w:val="TableNormal"/>
    <w:uiPriority w:val="72"/>
    <w:rsid w:val="00CB0664"/>
    <w:pPr>
      <w:spacing w:after="0" w:line="240" w:lineRule="auto"/>
    </w:pPr>
    <w:rPr>
      <w:color w:themeColor="text1" w:val="000000"/>
    </w:rPr>
    <w:tblPr>
      <w:tblStyleRowBandSize w:val="1"/>
      <w:tblStyleColBandSize w:val="1"/>
      <w:tblInd w:type="dxa" w:w="0"/>
      <w:tblCellMar>
        <w:top w:type="dxa" w:w="0"/>
        <w:left w:type="dxa" w:w="108"/>
        <w:bottom w:type="dxa" w:w="0"/>
        <w:right w:type="dxa" w:w="108"/>
      </w:tblCellMar>
    </w:tblPr>
    <w:tcPr>
      <w:shd w:color="auto" w:fill="EDF6F9" w:themeFill="accent5" w:themeFillTint="19" w:val="clear"/>
    </w:tcPr>
    <w:tblStylePr w:type="firstRow">
      <w:rPr>
        <w:b/>
        <w:bCs/>
        <w:color w:themeColor="background1" w:val="FFFFFF"/>
      </w:rPr>
      <w:tblPr/>
      <w:tcPr>
        <w:tcBorders>
          <w:bottom w:color="FFFFFF" w:space="0" w:sz="12" w:themeColor="background1" w:val="single"/>
        </w:tcBorders>
        <w:shd w:color="auto" w:fill="F2730A" w:themeFill="accent6" w:themeFillShade="CC" w:val="clear"/>
      </w:tcPr>
    </w:tblStylePr>
    <w:tblStylePr w:type="lastRow">
      <w:rPr>
        <w:b/>
        <w:bCs/>
        <w:color w:themeColor="accent6" w:themeShade="CC" w:val="F2730A"/>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D2EAF1" w:themeFill="accent5" w:themeFillTint="3F" w:val="clear"/>
      </w:tcPr>
    </w:tblStylePr>
    <w:tblStylePr w:type="band1Horz">
      <w:tblPr/>
      <w:tcPr>
        <w:shd w:color="auto" w:fill="DAEEF3" w:themeFill="accent5" w:themeFillTint="33" w:val="clear"/>
      </w:tcPr>
    </w:tblStylePr>
  </w:style>
  <w:style w:styleId="ColorfulList-Accent6" w:type="table">
    <w:name w:val="Colorful List Accent 6"/>
    <w:basedOn w:val="TableNormal"/>
    <w:uiPriority w:val="72"/>
    <w:rsid w:val="00CB0664"/>
    <w:pPr>
      <w:spacing w:after="0" w:line="240" w:lineRule="auto"/>
    </w:pPr>
    <w:rPr>
      <w:color w:themeColor="text1" w:val="000000"/>
    </w:rPr>
    <w:tblPr>
      <w:tblStyleRowBandSize w:val="1"/>
      <w:tblStyleColBandSize w:val="1"/>
      <w:tblInd w:type="dxa" w:w="0"/>
      <w:tblCellMar>
        <w:top w:type="dxa" w:w="0"/>
        <w:left w:type="dxa" w:w="108"/>
        <w:bottom w:type="dxa" w:w="0"/>
        <w:right w:type="dxa" w:w="108"/>
      </w:tblCellMar>
    </w:tblPr>
    <w:tcPr>
      <w:shd w:color="auto" w:fill="FEF4EC" w:themeFill="accent6" w:themeFillTint="19" w:val="clear"/>
    </w:tcPr>
    <w:tblStylePr w:type="firstRow">
      <w:rPr>
        <w:b/>
        <w:bCs/>
        <w:color w:themeColor="background1" w:val="FFFFFF"/>
      </w:rPr>
      <w:tblPr/>
      <w:tcPr>
        <w:tcBorders>
          <w:bottom w:color="FFFFFF" w:space="0" w:sz="12" w:themeColor="background1" w:val="single"/>
        </w:tcBorders>
        <w:shd w:color="auto" w:fill="348DA5" w:themeFill="accent5" w:themeFillShade="CC" w:val="clear"/>
      </w:tcPr>
    </w:tblStylePr>
    <w:tblStylePr w:type="lastRow">
      <w:rPr>
        <w:b/>
        <w:bCs/>
        <w:color w:themeColor="accent5" w:themeShade="CC" w:val="348DA5"/>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FDE4D0" w:themeFill="accent6" w:themeFillTint="3F" w:val="clear"/>
      </w:tcPr>
    </w:tblStylePr>
    <w:tblStylePr w:type="band1Horz">
      <w:tblPr/>
      <w:tcPr>
        <w:shd w:color="auto" w:fill="FDE9D9" w:themeFill="accent6" w:themeFillTint="33" w:val="clear"/>
      </w:tcPr>
    </w:tblStylePr>
  </w:style>
  <w:style w:styleId="ColorfulGrid" w:type="table">
    <w:name w:val="Colorful Grid"/>
    <w:basedOn w:val="TableNormal"/>
    <w:uiPriority w:val="73"/>
    <w:rsid w:val="00CB0664"/>
    <w:pPr>
      <w:spacing w:after="0" w:line="240" w:lineRule="auto"/>
    </w:pPr>
    <w:rPr>
      <w:color w:themeColor="text1" w:val="000000"/>
    </w:rPr>
    <w:tblPr>
      <w:tblStyleRowBandSize w:val="1"/>
      <w:tblStyleColBandSize w:val="1"/>
      <w:tblInd w:type="dxa" w:w="0"/>
      <w:tblBorders>
        <w:insideH w:color="FFFFFF" w:space="0" w:sz="4" w:themeColor="background1" w:val="single"/>
      </w:tblBorders>
      <w:tblCellMar>
        <w:top w:type="dxa" w:w="0"/>
        <w:left w:type="dxa" w:w="108"/>
        <w:bottom w:type="dxa" w:w="0"/>
        <w:right w:type="dxa" w:w="108"/>
      </w:tblCellMar>
    </w:tblPr>
    <w:tcPr>
      <w:shd w:color="auto" w:fill="CCCCCC" w:themeFill="text1" w:themeFillTint="33" w:val="clear"/>
    </w:tcPr>
    <w:tblStylePr w:type="firstRow">
      <w:rPr>
        <w:b/>
        <w:bCs/>
      </w:rPr>
      <w:tblPr/>
      <w:tcPr>
        <w:shd w:color="auto" w:fill="999999" w:themeFill="text1" w:themeFillTint="66" w:val="clear"/>
      </w:tcPr>
    </w:tblStylePr>
    <w:tblStylePr w:type="lastRow">
      <w:rPr>
        <w:b/>
        <w:bCs/>
        <w:color w:themeColor="text1" w:val="000000"/>
      </w:rPr>
      <w:tblPr/>
      <w:tcPr>
        <w:shd w:color="auto" w:fill="999999" w:themeFill="text1" w:themeFillTint="66" w:val="clear"/>
      </w:tcPr>
    </w:tblStylePr>
    <w:tblStylePr w:type="firstCol">
      <w:rPr>
        <w:color w:themeColor="background1" w:val="FFFFFF"/>
      </w:rPr>
      <w:tblPr/>
      <w:tcPr>
        <w:shd w:color="auto" w:fill="000000" w:themeFill="text1" w:themeFillShade="BF" w:val="clear"/>
      </w:tcPr>
    </w:tblStylePr>
    <w:tblStylePr w:type="lastCol">
      <w:rPr>
        <w:color w:themeColor="background1" w:val="FFFFFF"/>
      </w:rPr>
      <w:tblPr/>
      <w:tcPr>
        <w:shd w:color="auto" w:fill="000000" w:themeFill="text1" w:themeFillShade="BF" w:val="clear"/>
      </w:tcPr>
    </w:tblStylePr>
    <w:tblStylePr w:type="band1Vert">
      <w:tblPr/>
      <w:tcPr>
        <w:shd w:color="auto" w:fill="808080" w:themeFill="text1" w:themeFillTint="7F" w:val="clear"/>
      </w:tcPr>
    </w:tblStylePr>
    <w:tblStylePr w:type="band1Horz">
      <w:tblPr/>
      <w:tcPr>
        <w:shd w:color="auto" w:fill="808080" w:themeFill="text1" w:themeFillTint="7F" w:val="clear"/>
      </w:tcPr>
    </w:tblStylePr>
  </w:style>
  <w:style w:styleId="ColorfulGrid-Accent1" w:type="table">
    <w:name w:val="Colorful Grid Accent 1"/>
    <w:basedOn w:val="TableNormal"/>
    <w:uiPriority w:val="73"/>
    <w:rsid w:val="00CB0664"/>
    <w:pPr>
      <w:spacing w:after="0" w:line="240" w:lineRule="auto"/>
    </w:pPr>
    <w:rPr>
      <w:color w:themeColor="text1" w:val="000000"/>
    </w:rPr>
    <w:tblPr>
      <w:tblStyleRowBandSize w:val="1"/>
      <w:tblStyleColBandSize w:val="1"/>
      <w:tblInd w:type="dxa" w:w="0"/>
      <w:tblBorders>
        <w:insideH w:color="FFFFFF" w:space="0" w:sz="4" w:themeColor="background1" w:val="single"/>
      </w:tblBorders>
      <w:tblCellMar>
        <w:top w:type="dxa" w:w="0"/>
        <w:left w:type="dxa" w:w="108"/>
        <w:bottom w:type="dxa" w:w="0"/>
        <w:right w:type="dxa" w:w="108"/>
      </w:tblCellMar>
    </w:tblPr>
    <w:tcPr>
      <w:shd w:color="auto" w:fill="DBE5F1" w:themeFill="accent1" w:themeFillTint="33" w:val="clear"/>
    </w:tcPr>
    <w:tblStylePr w:type="firstRow">
      <w:rPr>
        <w:b/>
        <w:bCs/>
      </w:rPr>
      <w:tblPr/>
      <w:tcPr>
        <w:shd w:color="auto" w:fill="B8CCE4" w:themeFill="accent1" w:themeFillTint="66" w:val="clear"/>
      </w:tcPr>
    </w:tblStylePr>
    <w:tblStylePr w:type="lastRow">
      <w:rPr>
        <w:b/>
        <w:bCs/>
        <w:color w:themeColor="text1" w:val="000000"/>
      </w:rPr>
      <w:tblPr/>
      <w:tcPr>
        <w:shd w:color="auto" w:fill="B8CCE4" w:themeFill="accent1" w:themeFillTint="66" w:val="clear"/>
      </w:tcPr>
    </w:tblStylePr>
    <w:tblStylePr w:type="firstCol">
      <w:rPr>
        <w:color w:themeColor="background1" w:val="FFFFFF"/>
      </w:rPr>
      <w:tblPr/>
      <w:tcPr>
        <w:shd w:color="auto" w:fill="365F91" w:themeFill="accent1" w:themeFillShade="BF" w:val="clear"/>
      </w:tcPr>
    </w:tblStylePr>
    <w:tblStylePr w:type="lastCol">
      <w:rPr>
        <w:color w:themeColor="background1" w:val="FFFFFF"/>
      </w:rPr>
      <w:tblPr/>
      <w:tcPr>
        <w:shd w:color="auto" w:fill="365F91" w:themeFill="accent1" w:themeFillShade="BF" w:val="clear"/>
      </w:tcPr>
    </w:tblStylePr>
    <w:tblStylePr w:type="band1Vert">
      <w:tblPr/>
      <w:tcPr>
        <w:shd w:color="auto" w:fill="A7BFDE" w:themeFill="accent1" w:themeFillTint="7F" w:val="clear"/>
      </w:tcPr>
    </w:tblStylePr>
    <w:tblStylePr w:type="band1Horz">
      <w:tblPr/>
      <w:tcPr>
        <w:shd w:color="auto" w:fill="A7BFDE" w:themeFill="accent1" w:themeFillTint="7F" w:val="clear"/>
      </w:tcPr>
    </w:tblStylePr>
  </w:style>
  <w:style w:styleId="ColorfulGrid-Accent2" w:type="table">
    <w:name w:val="Colorful Grid Accent 2"/>
    <w:basedOn w:val="TableNormal"/>
    <w:uiPriority w:val="73"/>
    <w:rsid w:val="00CB0664"/>
    <w:pPr>
      <w:spacing w:after="0" w:line="240" w:lineRule="auto"/>
    </w:pPr>
    <w:rPr>
      <w:color w:themeColor="text1" w:val="000000"/>
    </w:rPr>
    <w:tblPr>
      <w:tblStyleRowBandSize w:val="1"/>
      <w:tblStyleColBandSize w:val="1"/>
      <w:tblInd w:type="dxa" w:w="0"/>
      <w:tblBorders>
        <w:insideH w:color="FFFFFF" w:space="0" w:sz="4" w:themeColor="background1" w:val="single"/>
      </w:tblBorders>
      <w:tblCellMar>
        <w:top w:type="dxa" w:w="0"/>
        <w:left w:type="dxa" w:w="108"/>
        <w:bottom w:type="dxa" w:w="0"/>
        <w:right w:type="dxa" w:w="108"/>
      </w:tblCellMar>
    </w:tblPr>
    <w:tcPr>
      <w:shd w:color="auto" w:fill="F2DBDB" w:themeFill="accent2" w:themeFillTint="33" w:val="clear"/>
    </w:tcPr>
    <w:tblStylePr w:type="firstRow">
      <w:rPr>
        <w:b/>
        <w:bCs/>
      </w:rPr>
      <w:tblPr/>
      <w:tcPr>
        <w:shd w:color="auto" w:fill="E5B8B7" w:themeFill="accent2" w:themeFillTint="66" w:val="clear"/>
      </w:tcPr>
    </w:tblStylePr>
    <w:tblStylePr w:type="lastRow">
      <w:rPr>
        <w:b/>
        <w:bCs/>
        <w:color w:themeColor="text1" w:val="000000"/>
      </w:rPr>
      <w:tblPr/>
      <w:tcPr>
        <w:shd w:color="auto" w:fill="E5B8B7" w:themeFill="accent2" w:themeFillTint="66" w:val="clear"/>
      </w:tcPr>
    </w:tblStylePr>
    <w:tblStylePr w:type="firstCol">
      <w:rPr>
        <w:color w:themeColor="background1" w:val="FFFFFF"/>
      </w:rPr>
      <w:tblPr/>
      <w:tcPr>
        <w:shd w:color="auto" w:fill="943634" w:themeFill="accent2" w:themeFillShade="BF" w:val="clear"/>
      </w:tcPr>
    </w:tblStylePr>
    <w:tblStylePr w:type="lastCol">
      <w:rPr>
        <w:color w:themeColor="background1" w:val="FFFFFF"/>
      </w:rPr>
      <w:tblPr/>
      <w:tcPr>
        <w:shd w:color="auto" w:fill="943634" w:themeFill="accent2" w:themeFillShade="BF" w:val="clear"/>
      </w:tcPr>
    </w:tblStylePr>
    <w:tblStylePr w:type="band1Vert">
      <w:tblPr/>
      <w:tcPr>
        <w:shd w:color="auto" w:fill="DFA7A6" w:themeFill="accent2" w:themeFillTint="7F" w:val="clear"/>
      </w:tcPr>
    </w:tblStylePr>
    <w:tblStylePr w:type="band1Horz">
      <w:tblPr/>
      <w:tcPr>
        <w:shd w:color="auto" w:fill="DFA7A6" w:themeFill="accent2" w:themeFillTint="7F" w:val="clear"/>
      </w:tcPr>
    </w:tblStylePr>
  </w:style>
  <w:style w:styleId="ColorfulGrid-Accent3" w:type="table">
    <w:name w:val="Colorful Grid Accent 3"/>
    <w:basedOn w:val="TableNormal"/>
    <w:uiPriority w:val="73"/>
    <w:rsid w:val="00CB0664"/>
    <w:pPr>
      <w:spacing w:after="0" w:line="240" w:lineRule="auto"/>
    </w:pPr>
    <w:rPr>
      <w:color w:themeColor="text1" w:val="000000"/>
    </w:rPr>
    <w:tblPr>
      <w:tblStyleRowBandSize w:val="1"/>
      <w:tblStyleColBandSize w:val="1"/>
      <w:tblInd w:type="dxa" w:w="0"/>
      <w:tblBorders>
        <w:insideH w:color="FFFFFF" w:space="0" w:sz="4" w:themeColor="background1" w:val="single"/>
      </w:tblBorders>
      <w:tblCellMar>
        <w:top w:type="dxa" w:w="0"/>
        <w:left w:type="dxa" w:w="108"/>
        <w:bottom w:type="dxa" w:w="0"/>
        <w:right w:type="dxa" w:w="108"/>
      </w:tblCellMar>
    </w:tblPr>
    <w:tcPr>
      <w:shd w:color="auto" w:fill="EAF1DD" w:themeFill="accent3" w:themeFillTint="33" w:val="clear"/>
    </w:tcPr>
    <w:tblStylePr w:type="firstRow">
      <w:rPr>
        <w:b/>
        <w:bCs/>
      </w:rPr>
      <w:tblPr/>
      <w:tcPr>
        <w:shd w:color="auto" w:fill="D6E3BC" w:themeFill="accent3" w:themeFillTint="66" w:val="clear"/>
      </w:tcPr>
    </w:tblStylePr>
    <w:tblStylePr w:type="lastRow">
      <w:rPr>
        <w:b/>
        <w:bCs/>
        <w:color w:themeColor="text1" w:val="000000"/>
      </w:rPr>
      <w:tblPr/>
      <w:tcPr>
        <w:shd w:color="auto" w:fill="D6E3BC" w:themeFill="accent3" w:themeFillTint="66" w:val="clear"/>
      </w:tcPr>
    </w:tblStylePr>
    <w:tblStylePr w:type="firstCol">
      <w:rPr>
        <w:color w:themeColor="background1" w:val="FFFFFF"/>
      </w:rPr>
      <w:tblPr/>
      <w:tcPr>
        <w:shd w:color="auto" w:fill="76923C" w:themeFill="accent3" w:themeFillShade="BF" w:val="clear"/>
      </w:tcPr>
    </w:tblStylePr>
    <w:tblStylePr w:type="lastCol">
      <w:rPr>
        <w:color w:themeColor="background1" w:val="FFFFFF"/>
      </w:rPr>
      <w:tblPr/>
      <w:tcPr>
        <w:shd w:color="auto" w:fill="76923C" w:themeFill="accent3" w:themeFillShade="BF" w:val="clear"/>
      </w:tcPr>
    </w:tblStylePr>
    <w:tblStylePr w:type="band1Vert">
      <w:tblPr/>
      <w:tcPr>
        <w:shd w:color="auto" w:fill="CDDDAC" w:themeFill="accent3" w:themeFillTint="7F" w:val="clear"/>
      </w:tcPr>
    </w:tblStylePr>
    <w:tblStylePr w:type="band1Horz">
      <w:tblPr/>
      <w:tcPr>
        <w:shd w:color="auto" w:fill="CDDDAC" w:themeFill="accent3" w:themeFillTint="7F" w:val="clear"/>
      </w:tcPr>
    </w:tblStylePr>
  </w:style>
  <w:style w:styleId="ColorfulGrid-Accent4" w:type="table">
    <w:name w:val="Colorful Grid Accent 4"/>
    <w:basedOn w:val="TableNormal"/>
    <w:uiPriority w:val="73"/>
    <w:rsid w:val="00CB0664"/>
    <w:pPr>
      <w:spacing w:after="0" w:line="240" w:lineRule="auto"/>
    </w:pPr>
    <w:rPr>
      <w:color w:themeColor="text1" w:val="000000"/>
    </w:rPr>
    <w:tblPr>
      <w:tblStyleRowBandSize w:val="1"/>
      <w:tblStyleColBandSize w:val="1"/>
      <w:tblInd w:type="dxa" w:w="0"/>
      <w:tblBorders>
        <w:insideH w:color="FFFFFF" w:space="0" w:sz="4" w:themeColor="background1" w:val="single"/>
      </w:tblBorders>
      <w:tblCellMar>
        <w:top w:type="dxa" w:w="0"/>
        <w:left w:type="dxa" w:w="108"/>
        <w:bottom w:type="dxa" w:w="0"/>
        <w:right w:type="dxa" w:w="108"/>
      </w:tblCellMar>
    </w:tblPr>
    <w:tcPr>
      <w:shd w:color="auto" w:fill="E5DFEC" w:themeFill="accent4" w:themeFillTint="33" w:val="clear"/>
    </w:tcPr>
    <w:tblStylePr w:type="firstRow">
      <w:rPr>
        <w:b/>
        <w:bCs/>
      </w:rPr>
      <w:tblPr/>
      <w:tcPr>
        <w:shd w:color="auto" w:fill="CCC0D9" w:themeFill="accent4" w:themeFillTint="66" w:val="clear"/>
      </w:tcPr>
    </w:tblStylePr>
    <w:tblStylePr w:type="lastRow">
      <w:rPr>
        <w:b/>
        <w:bCs/>
        <w:color w:themeColor="text1" w:val="000000"/>
      </w:rPr>
      <w:tblPr/>
      <w:tcPr>
        <w:shd w:color="auto" w:fill="CCC0D9" w:themeFill="accent4" w:themeFillTint="66" w:val="clear"/>
      </w:tcPr>
    </w:tblStylePr>
    <w:tblStylePr w:type="firstCol">
      <w:rPr>
        <w:color w:themeColor="background1" w:val="FFFFFF"/>
      </w:rPr>
      <w:tblPr/>
      <w:tcPr>
        <w:shd w:color="auto" w:fill="5F497A" w:themeFill="accent4" w:themeFillShade="BF" w:val="clear"/>
      </w:tcPr>
    </w:tblStylePr>
    <w:tblStylePr w:type="lastCol">
      <w:rPr>
        <w:color w:themeColor="background1" w:val="FFFFFF"/>
      </w:rPr>
      <w:tblPr/>
      <w:tcPr>
        <w:shd w:color="auto" w:fill="5F497A" w:themeFill="accent4" w:themeFillShade="BF" w:val="clear"/>
      </w:tcPr>
    </w:tblStylePr>
    <w:tblStylePr w:type="band1Vert">
      <w:tblPr/>
      <w:tcPr>
        <w:shd w:color="auto" w:fill="BFB1D0" w:themeFill="accent4" w:themeFillTint="7F" w:val="clear"/>
      </w:tcPr>
    </w:tblStylePr>
    <w:tblStylePr w:type="band1Horz">
      <w:tblPr/>
      <w:tcPr>
        <w:shd w:color="auto" w:fill="BFB1D0" w:themeFill="accent4" w:themeFillTint="7F" w:val="clear"/>
      </w:tcPr>
    </w:tblStylePr>
  </w:style>
  <w:style w:styleId="ColorfulGrid-Accent5" w:type="table">
    <w:name w:val="Colorful Grid Accent 5"/>
    <w:basedOn w:val="TableNormal"/>
    <w:uiPriority w:val="73"/>
    <w:rsid w:val="00CB0664"/>
    <w:pPr>
      <w:spacing w:after="0" w:line="240" w:lineRule="auto"/>
    </w:pPr>
    <w:rPr>
      <w:color w:themeColor="text1" w:val="000000"/>
    </w:rPr>
    <w:tblPr>
      <w:tblStyleRowBandSize w:val="1"/>
      <w:tblStyleColBandSize w:val="1"/>
      <w:tblInd w:type="dxa" w:w="0"/>
      <w:tblBorders>
        <w:insideH w:color="FFFFFF" w:space="0" w:sz="4" w:themeColor="background1" w:val="single"/>
      </w:tblBorders>
      <w:tblCellMar>
        <w:top w:type="dxa" w:w="0"/>
        <w:left w:type="dxa" w:w="108"/>
        <w:bottom w:type="dxa" w:w="0"/>
        <w:right w:type="dxa" w:w="108"/>
      </w:tblCellMar>
    </w:tblPr>
    <w:tcPr>
      <w:shd w:color="auto" w:fill="DAEEF3" w:themeFill="accent5" w:themeFillTint="33" w:val="clear"/>
    </w:tcPr>
    <w:tblStylePr w:type="firstRow">
      <w:rPr>
        <w:b/>
        <w:bCs/>
      </w:rPr>
      <w:tblPr/>
      <w:tcPr>
        <w:shd w:color="auto" w:fill="B6DDE8" w:themeFill="accent5" w:themeFillTint="66" w:val="clear"/>
      </w:tcPr>
    </w:tblStylePr>
    <w:tblStylePr w:type="lastRow">
      <w:rPr>
        <w:b/>
        <w:bCs/>
        <w:color w:themeColor="text1" w:val="000000"/>
      </w:rPr>
      <w:tblPr/>
      <w:tcPr>
        <w:shd w:color="auto" w:fill="B6DDE8" w:themeFill="accent5" w:themeFillTint="66" w:val="clear"/>
      </w:tcPr>
    </w:tblStylePr>
    <w:tblStylePr w:type="firstCol">
      <w:rPr>
        <w:color w:themeColor="background1" w:val="FFFFFF"/>
      </w:rPr>
      <w:tblPr/>
      <w:tcPr>
        <w:shd w:color="auto" w:fill="31849B" w:themeFill="accent5" w:themeFillShade="BF" w:val="clear"/>
      </w:tcPr>
    </w:tblStylePr>
    <w:tblStylePr w:type="lastCol">
      <w:rPr>
        <w:color w:themeColor="background1" w:val="FFFFFF"/>
      </w:rPr>
      <w:tblPr/>
      <w:tcPr>
        <w:shd w:color="auto" w:fill="31849B" w:themeFill="accent5" w:themeFillShade="BF" w:val="clear"/>
      </w:tcPr>
    </w:tblStylePr>
    <w:tblStylePr w:type="band1Vert">
      <w:tblPr/>
      <w:tcPr>
        <w:shd w:color="auto" w:fill="A5D5E2" w:themeFill="accent5" w:themeFillTint="7F" w:val="clear"/>
      </w:tcPr>
    </w:tblStylePr>
    <w:tblStylePr w:type="band1Horz">
      <w:tblPr/>
      <w:tcPr>
        <w:shd w:color="auto" w:fill="A5D5E2" w:themeFill="accent5" w:themeFillTint="7F" w:val="clear"/>
      </w:tcPr>
    </w:tblStylePr>
  </w:style>
  <w:style w:styleId="ColorfulGrid-Accent6" w:type="table">
    <w:name w:val="Colorful Grid Accent 6"/>
    <w:basedOn w:val="TableNormal"/>
    <w:uiPriority w:val="73"/>
    <w:rsid w:val="00CB0664"/>
    <w:pPr>
      <w:spacing w:after="0" w:line="240" w:lineRule="auto"/>
    </w:pPr>
    <w:rPr>
      <w:color w:themeColor="text1" w:val="000000"/>
    </w:rPr>
    <w:tblPr>
      <w:tblStyleRowBandSize w:val="1"/>
      <w:tblStyleColBandSize w:val="1"/>
      <w:tblInd w:type="dxa" w:w="0"/>
      <w:tblBorders>
        <w:insideH w:color="FFFFFF" w:space="0" w:sz="4" w:themeColor="background1" w:val="single"/>
      </w:tblBorders>
      <w:tblCellMar>
        <w:top w:type="dxa" w:w="0"/>
        <w:left w:type="dxa" w:w="108"/>
        <w:bottom w:type="dxa" w:w="0"/>
        <w:right w:type="dxa" w:w="108"/>
      </w:tblCellMar>
    </w:tblPr>
    <w:tcPr>
      <w:shd w:color="auto" w:fill="FDE9D9" w:themeFill="accent6" w:themeFillTint="33" w:val="clear"/>
    </w:tcPr>
    <w:tblStylePr w:type="firstRow">
      <w:rPr>
        <w:b/>
        <w:bCs/>
      </w:rPr>
      <w:tblPr/>
      <w:tcPr>
        <w:shd w:color="auto" w:fill="FBD4B4" w:themeFill="accent6" w:themeFillTint="66" w:val="clear"/>
      </w:tcPr>
    </w:tblStylePr>
    <w:tblStylePr w:type="lastRow">
      <w:rPr>
        <w:b/>
        <w:bCs/>
        <w:color w:themeColor="text1" w:val="000000"/>
      </w:rPr>
      <w:tblPr/>
      <w:tcPr>
        <w:shd w:color="auto" w:fill="FBD4B4" w:themeFill="accent6" w:themeFillTint="66" w:val="clear"/>
      </w:tcPr>
    </w:tblStylePr>
    <w:tblStylePr w:type="firstCol">
      <w:rPr>
        <w:color w:themeColor="background1" w:val="FFFFFF"/>
      </w:rPr>
      <w:tblPr/>
      <w:tcPr>
        <w:shd w:color="auto" w:fill="E36C0A" w:themeFill="accent6" w:themeFillShade="BF" w:val="clear"/>
      </w:tcPr>
    </w:tblStylePr>
    <w:tblStylePr w:type="lastCol">
      <w:rPr>
        <w:color w:themeColor="background1" w:val="FFFFFF"/>
      </w:rPr>
      <w:tblPr/>
      <w:tcPr>
        <w:shd w:color="auto" w:fill="E36C0A" w:themeFill="accent6" w:themeFillShade="BF" w:val="clear"/>
      </w:tcPr>
    </w:tblStylePr>
    <w:tblStylePr w:type="band1Vert">
      <w:tblPr/>
      <w:tcPr>
        <w:shd w:color="auto" w:fill="FBCAA2" w:themeFill="accent6" w:themeFillTint="7F" w:val="clear"/>
      </w:tcPr>
    </w:tblStylePr>
    <w:tblStylePr w:type="band1Horz">
      <w:tblPr/>
      <w:tcPr>
        <w:shd w:color="auto" w:fill="FBCAA2" w:themeFill="accent6" w:themeFillTint="7F" w:val="clear"/>
      </w:tcPr>
    </w:tblStylePr>
  </w:style>
  <w:style w:customStyle="1" w:styleId="FirstParagraph" w:type="paragraph">
    <w:name w:val="First Paragraph"/>
    <w:basedOn w:val="BodyText"/>
    <w:pPr>
      <w:keepNext w:val="0"/>
      <w:spacing w:after="0" w:before="0" w:line="240" w:lineRule="auto"/>
      <w:ind w:firstLine="0"/>
      <w:jc w:val="both"/>
    </w:pPr>
    <w:rPr>
      <w:rFonts w:ascii="Georgia" w:hAnsi="Georgia"/>
      <w:b w:val="0"/>
      <w:i w:val="0"/>
      <w:sz w:val="20"/>
    </w:rPr>
  </w:style>
  <w:style w:customStyle="1" w:styleId="Compact" w:type="paragraph">
    <w:name w:val="Compact"/>
    <w:basedOn w:val="BodyText"/>
    <w:pPr>
      <w:keepNext w:val="0"/>
      <w:spacing w:after="40" w:before="0" w:line="252" w:lineRule="auto"/>
      <w:ind w:left="317" w:hanging="259"/>
      <w:jc w:val="both"/>
    </w:pPr>
    <w:rPr>
      <w:rFonts w:ascii="Georgia" w:hAnsi="Georgia"/>
      <w:b w:val="0"/>
      <w:i w:val="0"/>
      <w:sz w:val="20"/>
    </w:rPr>
  </w:style>
  <w:style w:customStyle="1" w:styleId="AbstractLabel" w:type="paragraph">
    <w:name w:val="Abstract Label"/>
    <w:basedOn w:val="BodyText"/>
    <w:pPr>
      <w:keepNext/>
      <w:spacing w:after="80" w:before="80"/>
      <w:ind w:firstLine="0"/>
      <w:jc w:val="center"/>
    </w:pPr>
    <w:rPr>
      <w:rFonts w:ascii="Georgia" w:hAnsi="Georgia"/>
      <w:b/>
      <w:i w:val="0"/>
      <w:sz w:val="20"/>
    </w:rPr>
  </w:style>
  <w:style w:customStyle="1" w:styleId="Keywords" w:type="paragraph">
    <w:name w:val="Keywords"/>
    <w:basedOn w:val="BodyText"/>
    <w:pPr>
      <w:keepNext w:val="0"/>
      <w:spacing w:after="80" w:before="0"/>
      <w:ind w:firstLine="0"/>
      <w:jc w:val="both"/>
    </w:pPr>
    <w:rPr>
      <w:rFonts w:ascii="Georgia" w:hAnsi="Georgia"/>
      <w:b w:val="0"/>
      <w:i w:val="0"/>
      <w:sz w:val="20"/>
    </w:rPr>
  </w:style>
  <w:style w:customStyle="1" w:styleId="ImageCaption" w:type="paragraph">
    <w:name w:val="Image Caption"/>
    <w:basedOn w:val="BodyText"/>
    <w:pPr>
      <w:keepNext w:val="0"/>
      <w:spacing w:after="120" w:before="80" w:line="240" w:lineRule="auto"/>
      <w:jc w:val="center"/>
    </w:pPr>
    <w:rPr>
      <w:rFonts w:ascii="Georgia" w:hAnsi="Georgia"/>
      <w:b w:val="0"/>
      <w:i/>
      <w:sz w:val="18"/>
    </w:rPr>
  </w:style>
  <w:style w:customStyle="1" w:styleId="TableCaption" w:type="paragraph">
    <w:name w:val="Table Caption"/>
    <w:basedOn w:val="BodyText"/>
    <w:pPr>
      <w:keepNext/>
      <w:spacing w:after="60" w:before="240" w:line="240" w:lineRule="auto"/>
      <w:jc w:val="center"/>
    </w:pPr>
    <w:rPr>
      <w:rFonts w:ascii="Georgia" w:hAnsi="Georgia"/>
      <w:b w:val="0"/>
      <w:i/>
      <w:sz w:val="18"/>
    </w:rPr>
  </w:style>
  <w:style w:customStyle="1" w:styleId="ReferencesHeading" w:type="paragraph">
    <w:name w:val="References Heading"/>
    <w:basedOn w:val="Heading1"/>
    <w:pPr>
      <w:keepNext/>
      <w:spacing w:after="120" w:before="240"/>
    </w:pPr>
    <w:rPr>
      <w:rFonts w:ascii="Georgia" w:hAnsi="Georgia"/>
      <w:b/>
      <w:i w:val="0"/>
      <w:sz w:val="24"/>
    </w:rPr>
  </w:style>
  <w:style w:customStyle="1" w:styleId="ReferenceEntry" w:type="paragraph">
    <w:name w:val="Reference Entry"/>
    <w:basedOn w:val="BodyText"/>
    <w:pPr>
      <w:keepNext w:val="0"/>
      <w:spacing w:after="60" w:before="0" w:line="252" w:lineRule="auto"/>
      <w:ind w:left="403" w:hanging="403"/>
      <w:jc w:val="left"/>
    </w:pPr>
    <w:rPr>
      <w:rFonts w:ascii="Georgia" w:hAnsi="Georgia"/>
      <w:b w:val="0"/>
      <w:i w:val="0"/>
      <w:sz w:val="18"/>
    </w:rPr>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7" Type="http://schemas.openxmlformats.org/officeDocument/2006/relationships/styles" Target="styles.xml"/><Relationship Id="rId6" Type="http://schemas.openxmlformats.org/officeDocument/2006/relationships/settings" Target="settings.xml"/><Relationship Id="rId5" Type="http://schemas.openxmlformats.org/officeDocument/2006/relationships/webSettings" Target="webSettings.xml"/><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footnotes" Target="footnotes.xml"/><Relationship Id="rId1" Type="http://schemas.openxmlformats.org/officeDocument/2006/relationships/comments" Target="comments.xml"/><Relationship Id="rId25" Type="http://schemas.openxmlformats.org/officeDocument/2006/relationships/image" Target="media/rId25.png"/><Relationship Id="rId202" Type="http://schemas.openxmlformats.org/officeDocument/2006/relationships/image" Target="media/rId202.png"/><Relationship Id="rId48" Type="http://schemas.openxmlformats.org/officeDocument/2006/relationships/image" Target="media/rId48.png"/><Relationship Id="rId205" Type="http://schemas.openxmlformats.org/officeDocument/2006/relationships/image" Target="media/rId205.png"/><Relationship Id="rId189" Type="http://schemas.openxmlformats.org/officeDocument/2006/relationships/image" Target="media/rId189.png"/><Relationship Id="rId186" Type="http://schemas.openxmlformats.org/officeDocument/2006/relationships/image" Target="media/rId186.png"/><Relationship Id="rId139" Type="http://schemas.openxmlformats.org/officeDocument/2006/relationships/hyperlink" Target="https://aclanthology.org/2020.nlp4convai-1.5/" TargetMode="External"/><Relationship Id="rId83" Type="http://schemas.openxmlformats.org/officeDocument/2006/relationships/hyperlink" Target="https://aclanthology.org/2022.findings-emnlp.269/" TargetMode="External"/><Relationship Id="rId85" Type="http://schemas.openxmlformats.org/officeDocument/2006/relationships/hyperlink" Target="https://aclanthology.org/2022.naacl-main.341/" TargetMode="External"/><Relationship Id="rId69" Type="http://schemas.openxmlformats.org/officeDocument/2006/relationships/hyperlink" Target="https://aclanthology.org/2023.acl-long.754/" TargetMode="External"/><Relationship Id="rId67" Type="http://schemas.openxmlformats.org/officeDocument/2006/relationships/hyperlink" Target="https://aclanthology.org/2023.acl-long.806/" TargetMode="External"/><Relationship Id="rId99" Type="http://schemas.openxmlformats.org/officeDocument/2006/relationships/hyperlink" Target="https://aclanthology.org/2023.emnlp-main.153/" TargetMode="External"/><Relationship Id="rId133" Type="http://schemas.openxmlformats.org/officeDocument/2006/relationships/hyperlink" Target="https://aclanthology.org/N16-1014/" TargetMode="External"/><Relationship Id="rId63" Type="http://schemas.openxmlformats.org/officeDocument/2006/relationships/hyperlink" Target="https://arxiv.org/abs/1606.03498" TargetMode="External"/><Relationship Id="rId73" Type="http://schemas.openxmlformats.org/officeDocument/2006/relationships/hyperlink" Target="https://arxiv.org/abs/1611.02163" TargetMode="External"/><Relationship Id="rId163" Type="http://schemas.openxmlformats.org/officeDocument/2006/relationships/hyperlink" Target="https://arxiv.org/abs/2201.05955" TargetMode="External"/><Relationship Id="rId137" Type="http://schemas.openxmlformats.org/officeDocument/2006/relationships/hyperlink" Target="https://arxiv.org/abs/2210.02410" TargetMode="External"/><Relationship Id="rId87" Type="http://schemas.openxmlformats.org/officeDocument/2006/relationships/hyperlink" Target="https://arxiv.org/abs/2211.01910" TargetMode="External"/><Relationship Id="rId165" Type="http://schemas.openxmlformats.org/officeDocument/2006/relationships/hyperlink" Target="https://arxiv.org/abs/2303.11366" TargetMode="External"/><Relationship Id="rId167" Type="http://schemas.openxmlformats.org/officeDocument/2006/relationships/hyperlink" Target="https://arxiv.org/abs/2303.17651" TargetMode="External"/><Relationship Id="rId155" Type="http://schemas.openxmlformats.org/officeDocument/2006/relationships/hyperlink" Target="https://arxiv.org/abs/2306.15895" TargetMode="External"/><Relationship Id="rId93" Type="http://schemas.openxmlformats.org/officeDocument/2006/relationships/hyperlink" Target="https://arxiv.org/abs/2309.16797" TargetMode="External"/><Relationship Id="rId157" Type="http://schemas.openxmlformats.org/officeDocument/2006/relationships/hyperlink" Target="https://arxiv.org/abs/2310.13671" TargetMode="External"/><Relationship Id="rId159" Type="http://schemas.openxmlformats.org/officeDocument/2006/relationships/hyperlink" Target="https://arxiv.org/abs/2310.17876" TargetMode="External"/><Relationship Id="rId97" Type="http://schemas.openxmlformats.org/officeDocument/2006/relationships/hyperlink" Target="https://arxiv.org/abs/2406.07496" TargetMode="External"/><Relationship Id="rId123" Type="http://schemas.openxmlformats.org/officeDocument/2006/relationships/hyperlink" Target="https://arxiv.org/abs/2410.12954" TargetMode="External"/><Relationship Id="rId145" Type="http://schemas.openxmlformats.org/officeDocument/2006/relationships/hyperlink" Target="https://arxiv.org/abs/2411.02817" TargetMode="External"/><Relationship Id="rId153" Type="http://schemas.openxmlformats.org/officeDocument/2006/relationships/hyperlink" Target="https://arxiv.org/abs/2412.02980" TargetMode="External"/><Relationship Id="rId131" Type="http://schemas.openxmlformats.org/officeDocument/2006/relationships/hyperlink" Target="https://arxiv.org/abs/2412.18645" TargetMode="External"/><Relationship Id="rId161" Type="http://schemas.openxmlformats.org/officeDocument/2006/relationships/hyperlink" Target="https://arxiv.org/abs/2502.05923" TargetMode="External"/><Relationship Id="rId127" Type="http://schemas.openxmlformats.org/officeDocument/2006/relationships/hyperlink" Target="https://arxiv.org/abs/2502.15654" TargetMode="External"/><Relationship Id="rId141" Type="http://schemas.openxmlformats.org/officeDocument/2006/relationships/hyperlink" Target="https://arxiv.org/abs/2506.21138" TargetMode="External"/><Relationship Id="rId109" Type="http://schemas.openxmlformats.org/officeDocument/2006/relationships/hyperlink" Target="https://arxiv.org/abs/2507.19457" TargetMode="External"/><Relationship Id="rId149" Type="http://schemas.openxmlformats.org/officeDocument/2006/relationships/hyperlink" Target="https://arxiv.org/abs/2507.23751" TargetMode="External"/><Relationship Id="rId143" Type="http://schemas.openxmlformats.org/officeDocument/2006/relationships/hyperlink" Target="https://arxiv.org/abs/2509.02040" TargetMode="External"/><Relationship Id="rId119" Type="http://schemas.openxmlformats.org/officeDocument/2006/relationships/hyperlink" Target="https://arxiv.org/abs/2509.23252" TargetMode="External"/><Relationship Id="rId117" Type="http://schemas.openxmlformats.org/officeDocument/2006/relationships/hyperlink" Target="https://arxiv.org/abs/2510.01171" TargetMode="External"/><Relationship Id="rId113" Type="http://schemas.openxmlformats.org/officeDocument/2006/relationships/hyperlink" Target="https://arxiv.org/abs/2510.06538" TargetMode="External"/><Relationship Id="rId115" Type="http://schemas.openxmlformats.org/officeDocument/2006/relationships/hyperlink" Target="https://arxiv.org/abs/2510.12697" TargetMode="External"/><Relationship Id="rId147" Type="http://schemas.openxmlformats.org/officeDocument/2006/relationships/hyperlink" Target="https://arxiv.org/abs/2510.24469" TargetMode="External"/><Relationship Id="rId125" Type="http://schemas.openxmlformats.org/officeDocument/2006/relationships/hyperlink" Target="https://arxiv.org/abs/2511.01490" TargetMode="External"/><Relationship Id="rId151" Type="http://schemas.openxmlformats.org/officeDocument/2006/relationships/hyperlink" Target="https://arxiv.org/abs/2511.03928" TargetMode="External"/><Relationship Id="rId79" Type="http://schemas.openxmlformats.org/officeDocument/2006/relationships/hyperlink" Target="https://dl.acm.org/doi/abs/10.1145/3477495.3531863" TargetMode="External"/><Relationship Id="rId10" Type="http://schemas.openxmlformats.org/officeDocument/2006/relationships/hyperlink" Target="https://github.com/ApartsinProjects/SynSmith" TargetMode="External"/><Relationship Id="rId135" Type="http://schemas.openxmlformats.org/officeDocument/2006/relationships/hyperlink" Target="https://jmlr.csail.mit.edu/papers/v13/gretton12a.html" TargetMode="External"/><Relationship Id="rId65" Type="http://schemas.openxmlformats.org/officeDocument/2006/relationships/hyperlink" Target="https://openaccess.thecvf.com/content_CVPR_2019/html/Mao_Mode_Seeking_Generative_Adversarial_Networks_for_Diverse_Image_Synthesis_CVPR_2019_paper.html" TargetMode="External"/><Relationship Id="rId101" Type="http://schemas.openxmlformats.org/officeDocument/2006/relationships/hyperlink" Target="https://openreview.net/forum?id=1PL1NIMMrw" TargetMode="External"/><Relationship Id="rId89" Type="http://schemas.openxmlformats.org/officeDocument/2006/relationships/hyperlink" Target="https://openreview.net/forum?id=Bb4VGOWELI" TargetMode="External"/><Relationship Id="rId111" Type="http://schemas.openxmlformats.org/officeDocument/2006/relationships/hyperlink" Target="https://openreview.net/forum?id=HGCk5aaSvE" TargetMode="External"/><Relationship Id="rId129" Type="http://schemas.openxmlformats.org/officeDocument/2006/relationships/hyperlink" Target="https://openreview.net/forum?id=IBnCO8gtLA" TargetMode="External"/><Relationship Id="rId91" Type="http://schemas.openxmlformats.org/officeDocument/2006/relationships/hyperlink" Target="https://openreview.net/forum?id=ZG3RaNIsO8" TargetMode="External"/><Relationship Id="rId121" Type="http://schemas.openxmlformats.org/officeDocument/2006/relationships/hyperlink" Target="https://openreview.net/forum?id=et5l9qPUhm" TargetMode="External"/><Relationship Id="rId95" Type="http://schemas.openxmlformats.org/officeDocument/2006/relationships/hyperlink" Target="https://openreview.net/forum?id=sY5N0zY5Od" TargetMode="External"/><Relationship Id="rId71" Type="http://schemas.openxmlformats.org/officeDocument/2006/relationships/hyperlink" Target="https://openreview.net/forum?id=uccHPGDlao" TargetMode="External"/><Relationship Id="rId107" Type="http://schemas.openxmlformats.org/officeDocument/2006/relationships/hyperlink" Target="https://proceedings.mlr.press/v119/naeem20a.html" TargetMode="External"/><Relationship Id="rId75" Type="http://schemas.openxmlformats.org/officeDocument/2006/relationships/hyperlink" Target="https://proceedings.mlr.press/v70/arjovsky17a.html" TargetMode="External"/><Relationship Id="rId103" Type="http://schemas.openxmlformats.org/officeDocument/2006/relationships/hyperlink" Target="https://proceedings.neurips.cc/paper/2017/hash/8a1d694707eb0fefe65871369074926d-Abstract.html" TargetMode="External"/><Relationship Id="rId61" Type="http://schemas.openxmlformats.org/officeDocument/2006/relationships/hyperlink" Target="https://proceedings.neurips.cc/paper/2018/hash/288cc0ff022877bd3df94bc9360b9c5d-Abstract.html" TargetMode="External"/><Relationship Id="rId105" Type="http://schemas.openxmlformats.org/officeDocument/2006/relationships/hyperlink" Target="https://proceedings.neurips.cc/paper/2018/hash/f7696a9b362ac5a51c3dc8f098b73923-Abstract.html" TargetMode="External"/><Relationship Id="rId81" Type="http://schemas.openxmlformats.org/officeDocument/2006/relationships/hyperlink" Target="https://proceedings.neurips.cc/paper_files/paper/2022/hash/0346c148ba1c21c6b4780a961ea141dc-Abstract-Conference.html" TargetMode="External"/><Relationship Id="rId77" Type="http://schemas.openxmlformats.org/officeDocument/2006/relationships/hyperlink" Target="https://www.cambridge.org/core/books/density-ratio-estimation-in-machine-learning/BCBEA6AEAADD66569B1E85DDDEAA7648" TargetMode="External"/><Relationship Id="rId208" Type="http://schemas.openxmlformats.org/officeDocument/2006/relationships/hyperlink" Target="synsmith.docx" TargetMode="External"/><Relationship Id="rId209" Type="http://schemas.openxmlformats.org/officeDocument/2006/relationships/hyperlink" Target="synsmith_2col.docx" TargetMode="Externa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139" Type="http://schemas.openxmlformats.org/officeDocument/2006/relationships/hyperlink" Target="https://aclanthology.org/2020.nlp4convai-1.5/" TargetMode="External"/><Relationship Id="rId83" Type="http://schemas.openxmlformats.org/officeDocument/2006/relationships/hyperlink" Target="https://aclanthology.org/2022.findings-emnlp.269/" TargetMode="External"/><Relationship Id="rId85" Type="http://schemas.openxmlformats.org/officeDocument/2006/relationships/hyperlink" Target="https://aclanthology.org/2022.naacl-main.341/" TargetMode="External"/><Relationship Id="rId69" Type="http://schemas.openxmlformats.org/officeDocument/2006/relationships/hyperlink" Target="https://aclanthology.org/2023.acl-long.754/" TargetMode="External"/><Relationship Id="rId67" Type="http://schemas.openxmlformats.org/officeDocument/2006/relationships/hyperlink" Target="https://aclanthology.org/2023.acl-long.806/" TargetMode="External"/><Relationship Id="rId99" Type="http://schemas.openxmlformats.org/officeDocument/2006/relationships/hyperlink" Target="https://aclanthology.org/2023.emnlp-main.153/" TargetMode="External"/><Relationship Id="rId133" Type="http://schemas.openxmlformats.org/officeDocument/2006/relationships/hyperlink" Target="https://aclanthology.org/N16-1014/" TargetMode="External"/><Relationship Id="rId63" Type="http://schemas.openxmlformats.org/officeDocument/2006/relationships/hyperlink" Target="https://arxiv.org/abs/1606.03498" TargetMode="External"/><Relationship Id="rId73" Type="http://schemas.openxmlformats.org/officeDocument/2006/relationships/hyperlink" Target="https://arxiv.org/abs/1611.02163" TargetMode="External"/><Relationship Id="rId163" Type="http://schemas.openxmlformats.org/officeDocument/2006/relationships/hyperlink" Target="https://arxiv.org/abs/2201.05955" TargetMode="External"/><Relationship Id="rId137" Type="http://schemas.openxmlformats.org/officeDocument/2006/relationships/hyperlink" Target="https://arxiv.org/abs/2210.02410" TargetMode="External"/><Relationship Id="rId87" Type="http://schemas.openxmlformats.org/officeDocument/2006/relationships/hyperlink" Target="https://arxiv.org/abs/2211.01910" TargetMode="External"/><Relationship Id="rId165" Type="http://schemas.openxmlformats.org/officeDocument/2006/relationships/hyperlink" Target="https://arxiv.org/abs/2303.11366" TargetMode="External"/><Relationship Id="rId167" Type="http://schemas.openxmlformats.org/officeDocument/2006/relationships/hyperlink" Target="https://arxiv.org/abs/2303.17651" TargetMode="External"/><Relationship Id="rId155" Type="http://schemas.openxmlformats.org/officeDocument/2006/relationships/hyperlink" Target="https://arxiv.org/abs/2306.15895" TargetMode="External"/><Relationship Id="rId93" Type="http://schemas.openxmlformats.org/officeDocument/2006/relationships/hyperlink" Target="https://arxiv.org/abs/2309.16797" TargetMode="External"/><Relationship Id="rId157" Type="http://schemas.openxmlformats.org/officeDocument/2006/relationships/hyperlink" Target="https://arxiv.org/abs/2310.13671" TargetMode="External"/><Relationship Id="rId159" Type="http://schemas.openxmlformats.org/officeDocument/2006/relationships/hyperlink" Target="https://arxiv.org/abs/2310.17876" TargetMode="External"/><Relationship Id="rId97" Type="http://schemas.openxmlformats.org/officeDocument/2006/relationships/hyperlink" Target="https://arxiv.org/abs/2406.07496" TargetMode="External"/><Relationship Id="rId123" Type="http://schemas.openxmlformats.org/officeDocument/2006/relationships/hyperlink" Target="https://arxiv.org/abs/2410.12954" TargetMode="External"/><Relationship Id="rId145" Type="http://schemas.openxmlformats.org/officeDocument/2006/relationships/hyperlink" Target="https://arxiv.org/abs/2411.02817" TargetMode="External"/><Relationship Id="rId153" Type="http://schemas.openxmlformats.org/officeDocument/2006/relationships/hyperlink" Target="https://arxiv.org/abs/2412.02980" TargetMode="External"/><Relationship Id="rId131" Type="http://schemas.openxmlformats.org/officeDocument/2006/relationships/hyperlink" Target="https://arxiv.org/abs/2412.18645" TargetMode="External"/><Relationship Id="rId161" Type="http://schemas.openxmlformats.org/officeDocument/2006/relationships/hyperlink" Target="https://arxiv.org/abs/2502.05923" TargetMode="External"/><Relationship Id="rId127" Type="http://schemas.openxmlformats.org/officeDocument/2006/relationships/hyperlink" Target="https://arxiv.org/abs/2502.15654" TargetMode="External"/><Relationship Id="rId141" Type="http://schemas.openxmlformats.org/officeDocument/2006/relationships/hyperlink" Target="https://arxiv.org/abs/2506.21138" TargetMode="External"/><Relationship Id="rId109" Type="http://schemas.openxmlformats.org/officeDocument/2006/relationships/hyperlink" Target="https://arxiv.org/abs/2507.19457" TargetMode="External"/><Relationship Id="rId149" Type="http://schemas.openxmlformats.org/officeDocument/2006/relationships/hyperlink" Target="https://arxiv.org/abs/2507.23751" TargetMode="External"/><Relationship Id="rId143" Type="http://schemas.openxmlformats.org/officeDocument/2006/relationships/hyperlink" Target="https://arxiv.org/abs/2509.02040" TargetMode="External"/><Relationship Id="rId119" Type="http://schemas.openxmlformats.org/officeDocument/2006/relationships/hyperlink" Target="https://arxiv.org/abs/2509.23252" TargetMode="External"/><Relationship Id="rId117" Type="http://schemas.openxmlformats.org/officeDocument/2006/relationships/hyperlink" Target="https://arxiv.org/abs/2510.01171" TargetMode="External"/><Relationship Id="rId113" Type="http://schemas.openxmlformats.org/officeDocument/2006/relationships/hyperlink" Target="https://arxiv.org/abs/2510.06538" TargetMode="External"/><Relationship Id="rId115" Type="http://schemas.openxmlformats.org/officeDocument/2006/relationships/hyperlink" Target="https://arxiv.org/abs/2510.12697" TargetMode="External"/><Relationship Id="rId147" Type="http://schemas.openxmlformats.org/officeDocument/2006/relationships/hyperlink" Target="https://arxiv.org/abs/2510.24469" TargetMode="External"/><Relationship Id="rId125" Type="http://schemas.openxmlformats.org/officeDocument/2006/relationships/hyperlink" Target="https://arxiv.org/abs/2511.01490" TargetMode="External"/><Relationship Id="rId151" Type="http://schemas.openxmlformats.org/officeDocument/2006/relationships/hyperlink" Target="https://arxiv.org/abs/2511.03928" TargetMode="External"/><Relationship Id="rId79" Type="http://schemas.openxmlformats.org/officeDocument/2006/relationships/hyperlink" Target="https://dl.acm.org/doi/abs/10.1145/3477495.3531863" TargetMode="External"/><Relationship Id="rId10" Type="http://schemas.openxmlformats.org/officeDocument/2006/relationships/hyperlink" Target="https://github.com/ApartsinProjects/SynSmith" TargetMode="External"/><Relationship Id="rId135" Type="http://schemas.openxmlformats.org/officeDocument/2006/relationships/hyperlink" Target="https://jmlr.csail.mit.edu/papers/v13/gretton12a.html" TargetMode="External"/><Relationship Id="rId65" Type="http://schemas.openxmlformats.org/officeDocument/2006/relationships/hyperlink" Target="https://openaccess.thecvf.com/content_CVPR_2019/html/Mao_Mode_Seeking_Generative_Adversarial_Networks_for_Diverse_Image_Synthesis_CVPR_2019_paper.html" TargetMode="External"/><Relationship Id="rId101" Type="http://schemas.openxmlformats.org/officeDocument/2006/relationships/hyperlink" Target="https://openreview.net/forum?id=1PL1NIMMrw" TargetMode="External"/><Relationship Id="rId89" Type="http://schemas.openxmlformats.org/officeDocument/2006/relationships/hyperlink" Target="https://openreview.net/forum?id=Bb4VGOWELI" TargetMode="External"/><Relationship Id="rId111" Type="http://schemas.openxmlformats.org/officeDocument/2006/relationships/hyperlink" Target="https://openreview.net/forum?id=HGCk5aaSvE" TargetMode="External"/><Relationship Id="rId129" Type="http://schemas.openxmlformats.org/officeDocument/2006/relationships/hyperlink" Target="https://openreview.net/forum?id=IBnCO8gtLA" TargetMode="External"/><Relationship Id="rId91" Type="http://schemas.openxmlformats.org/officeDocument/2006/relationships/hyperlink" Target="https://openreview.net/forum?id=ZG3RaNIsO8" TargetMode="External"/><Relationship Id="rId121" Type="http://schemas.openxmlformats.org/officeDocument/2006/relationships/hyperlink" Target="https://openreview.net/forum?id=et5l9qPUhm" TargetMode="External"/><Relationship Id="rId95" Type="http://schemas.openxmlformats.org/officeDocument/2006/relationships/hyperlink" Target="https://openreview.net/forum?id=sY5N0zY5Od" TargetMode="External"/><Relationship Id="rId71" Type="http://schemas.openxmlformats.org/officeDocument/2006/relationships/hyperlink" Target="https://openreview.net/forum?id=uccHPGDlao" TargetMode="External"/><Relationship Id="rId107" Type="http://schemas.openxmlformats.org/officeDocument/2006/relationships/hyperlink" Target="https://proceedings.mlr.press/v119/naeem20a.html" TargetMode="External"/><Relationship Id="rId75" Type="http://schemas.openxmlformats.org/officeDocument/2006/relationships/hyperlink" Target="https://proceedings.mlr.press/v70/arjovsky17a.html" TargetMode="External"/><Relationship Id="rId103" Type="http://schemas.openxmlformats.org/officeDocument/2006/relationships/hyperlink" Target="https://proceedings.neurips.cc/paper/2017/hash/8a1d694707eb0fefe65871369074926d-Abstract.html" TargetMode="External"/><Relationship Id="rId61" Type="http://schemas.openxmlformats.org/officeDocument/2006/relationships/hyperlink" Target="https://proceedings.neurips.cc/paper/2018/hash/288cc0ff022877bd3df94bc9360b9c5d-Abstract.html" TargetMode="External"/><Relationship Id="rId105" Type="http://schemas.openxmlformats.org/officeDocument/2006/relationships/hyperlink" Target="https://proceedings.neurips.cc/paper/2018/hash/f7696a9b362ac5a51c3dc8f098b73923-Abstract.html" TargetMode="External"/><Relationship Id="rId81" Type="http://schemas.openxmlformats.org/officeDocument/2006/relationships/hyperlink" Target="https://proceedings.neurips.cc/paper_files/paper/2022/hash/0346c148ba1c21c6b4780a961ea141dc-Abstract-Conference.html" TargetMode="External"/><Relationship Id="rId77" Type="http://schemas.openxmlformats.org/officeDocument/2006/relationships/hyperlink" Target="https://www.cambridge.org/core/books/density-ratio-estimation-in-machine-learning/BCBEA6AEAADD66569B1E85DDDEAA7648" TargetMode="External"/><Relationship Id="rId208" Type="http://schemas.openxmlformats.org/officeDocument/2006/relationships/hyperlink" Target="synsmith.docx" TargetMode="External"/><Relationship Id="rId209" Type="http://schemas.openxmlformats.org/officeDocument/2006/relationships/hyperlink" Target="synsmith_2col.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language>en</dc:language>
  <cp:keywords/>
  <dcterms:created xsi:type="dcterms:W3CDTF">2026-06-04T00:02:41Z</dcterms:created>
  <dcterms:modified xsi:type="dcterms:W3CDTF">2026-06-04T00:02:41Z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witter:card">
    <vt:lpwstr>summary_large_image</vt:lpwstr>
  </property>
  <property fmtid="{D5CDD505-2E9C-101B-9397-08002B2CF9AE}" pid="3" name="twitter:image">
    <vt:lpwstr>figures/main_run_002_multi_classifier.png</vt:lpwstr>
  </property>
  <property fmtid="{D5CDD505-2E9C-101B-9397-08002B2CF9AE}" pid="4" name="twitter:title">
    <vt:lpwstr>SynSmith: Adversarial Multi-Critic Prompt Debugging for Synthetic Data Generation</vt:lpwstr>
  </property>
  <property fmtid="{D5CDD505-2E9C-101B-9397-08002B2CF9AE}" pid="5" name="viewport">
    <vt:lpwstr>width=device-width, initial-scale=1</vt:lpwstr>
  </property>
</Properties>
</file>