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omments.xml" ContentType="application/vnd.openxmlformats-officedocument.wordprocessingml.comment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Relationship Id="rId3" Type="http://schemas.openxmlformats.org/package/2006/relationships/metadata/core-properties" Target="docProps/core.xml"/><Relationship Id="rId5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FirstParagraph"/>
        <w:jc w:val="both"/>
        <w:keepNext w:val="0"/>
        <w:keepLines w:val="0"/>
        <w:widowControl w:val="1"/>
      </w:pPr>
      <w:hyperlink r:id="rId9">
        <w:r>
          <w:rPr>
            <w:rStyle w:val="Hyperlink"/>
          </w:rPr>
          <w:t xml:space="preserve">Download MS Word (.docx)</w:t>
        </w:r>
      </w:hyperlink>
      <w:r>
        <w:t xml:space="preserve"> </w:t>
      </w:r>
      <w:hyperlink r:id="rId10">
        <w:r>
          <w:rPr>
            <w:rStyle w:val="Hyperlink"/>
          </w:rPr>
          <w:t xml:space="preserve">View on GitHub</w:t>
        </w:r>
      </w:hyperlink>
    </w:p>
    <w:bookmarkStart w:id="12" w:name="X9685141ce43a56088a20c0dd362cde16899977c"/>
    <w:p>
      <w:pPr>
        <w:pStyle w:val="Title"/>
        <w:spacing w:before="0" w:after="160"/>
        <w:jc w:val="center"/>
        <w:keepNext/>
        <w:keepLines/>
        <w:widowControl w:val="1"/>
      </w:pPr>
      <w:r>
        <w:t xml:space="preserve">Mapping License Plate Recoverability Under Extreme Viewing Angles</w:t>
      </w:r>
      <w:r>
        <w:t xml:space="preserve"> </w:t>
      </w:r>
      <w:r>
        <w:t xml:space="preserve">for Opportunistic Urban Sensing</w:t>
      </w:r>
    </w:p>
    <w:p>
      <w:pPr>
        <w:pStyle w:val="Subtitle"/>
        <w:spacing w:before="0" w:after="40"/>
        <w:jc w:val="center"/>
        <w:keepNext/>
        <w:keepLines/>
        <w:widowControl w:val="1"/>
      </w:pPr>
      <w:r>
        <w:t xml:space="preserve">Igor Adamenko</w:t>
      </w:r>
      <w:r>
        <w:rPr>
          <w:vertAlign w:val="superscript"/>
        </w:rPr>
        <w:t xml:space="preserve">1</w:t>
      </w:r>
      <w:r>
        <w:t xml:space="preserve">, Orpaz Ben Aharon</w:t>
      </w:r>
      <w:r>
        <w:rPr>
          <w:vertAlign w:val="superscript"/>
        </w:rPr>
        <w:t xml:space="preserve">2</w:t>
      </w:r>
      <w:r>
        <w:t xml:space="preserve">, Yehudit Aperstein</w:t>
      </w:r>
      <w:r>
        <w:rPr>
          <w:vertAlign w:val="superscript"/>
        </w:rPr>
        <w:t xml:space="preserve">3</w:t>
      </w:r>
      <w:r>
        <w:t xml:space="preserve">, Alexander Apartsin</w:t>
      </w:r>
      <w:r>
        <w:rPr>
          <w:vertAlign w:val="superscript"/>
        </w:rPr>
        <w:t xml:space="preserve">4</w:t>
      </w:r>
    </w:p>
    <w:p>
      <w:pPr>
        <w:pStyle w:val="Subtitle"/>
        <w:spacing w:before="0" w:after="160"/>
        <w:jc w:val="center"/>
        <w:keepNext w:val="0"/>
        <w:keepLines/>
        <w:widowControl w:val="1"/>
      </w:pPr>
      <w:r>
        <w:rPr>
          <w:sz w:val="20"/>
          <w:vertAlign w:val="superscript"/>
        </w:rPr>
        <w:t xml:space="preserve">1,2</w:t>
      </w:r>
      <w:r>
        <w:rPr>
          <w:sz w:val="20"/>
        </w:rPr>
        <w:t xml:space="preserve">Department of Electrical Engineering, Afeka Academic College of Engineering, Tel Aviv 69988, Israel</w:t>
      </w:r>
      <w:r>
        <w:rPr>
          <w:sz w:val="20"/>
        </w:rPr>
        <w:br/>
      </w:r>
      <w:r>
        <w:rPr>
          <w:sz w:val="20"/>
          <w:vertAlign w:val="superscript"/>
        </w:rPr>
        <w:t xml:space="preserve">3</w:t>
      </w:r>
      <w:r>
        <w:rPr>
          <w:sz w:val="20"/>
        </w:rPr>
        <w:t xml:space="preserve">Intelligent Systems, Afeka Academic College of Engineering, Tel Aviv 69988, Israel</w:t>
      </w:r>
      <w:r>
        <w:rPr>
          <w:sz w:val="20"/>
        </w:rPr>
        <w:br/>
      </w:r>
      <w:r>
        <w:rPr>
          <w:sz w:val="20"/>
          <w:vertAlign w:val="superscript"/>
        </w:rPr>
        <w:t xml:space="preserve">4</w:t>
      </w:r>
      <w:r>
        <w:rPr>
          <w:sz w:val="20"/>
        </w:rPr>
        <w:t xml:space="preserve">School of Computer Science, Faculty of Sciences, HIT–Holon Institute of Technology, Holon 58102, Israel</w:t>
      </w:r>
    </w:p>
    <w:bookmarkStart w:id="11" w:name="abstract"/>
    <w:p>
      <w:pPr>
        <w:pStyle w:val="AbstractLabel"/>
        <w:jc w:val="center"/>
        <w:keepNext/>
        <w:keepLines/>
        <w:widowControl w:val="1"/>
      </w:pPr>
      <w:r>
        <w:t xml:space="preserve">Abstract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Urban environments are saturated with imaging sensors deployed for purposes unrelated to</w:t>
      </w:r>
      <w:r>
        <w:t xml:space="preserve"> </w:t>
      </w:r>
      <w:r>
        <w:t xml:space="preserve">vehicle identification, including automated teller machine cameras, body-worn devices, dashboard</w:t>
      </w:r>
      <w:r>
        <w:t xml:space="preserve"> </w:t>
      </w:r>
      <w:r>
        <w:t xml:space="preserve">cameras, pole-mounted CCTV, and smartphones. We term the use of such non-purpose-built sensors</w:t>
      </w:r>
      <w:r>
        <w:t xml:space="preserve"> </w:t>
      </w:r>
      <w:r>
        <w:t xml:space="preserve">for secondary inference</w:t>
      </w:r>
      <w:r>
        <w:t xml:space="preserve"> </w:t>
      </w:r>
      <w:r>
        <w:rPr>
          <w:i/>
          <w:iCs/>
        </w:rPr>
        <w:t xml:space="preserve">opportunistic sensing</w:t>
      </w:r>
      <w:r>
        <w:t xml:space="preserve">; its central open question is where in</w:t>
      </w:r>
      <w:r>
        <w:t xml:space="preserve"> </w:t>
      </w:r>
      <w:r>
        <w:t xml:space="preserve">the space of uncontrolled capture conditions AI-enabled restoration remains reliable. This paper</w:t>
      </w:r>
      <w:r>
        <w:t xml:space="preserve"> </w:t>
      </w:r>
      <w:r>
        <w:t xml:space="preserve">introduces</w:t>
      </w:r>
      <w:r>
        <w:t xml:space="preserve"> </w:t>
      </w:r>
      <w:r>
        <w:rPr>
          <w:i/>
          <w:iCs/>
        </w:rPr>
        <w:t xml:space="preserve">recoverability maps</w:t>
      </w:r>
      <w:r>
        <w:t xml:space="preserve">, a task-agnostic methodology for quantifying that</w:t>
      </w:r>
      <w:r>
        <w:t xml:space="preserve"> </w:t>
      </w:r>
      <w:r>
        <w:t xml:space="preserve">boundary, and applies it to oblique-view license plate recognition (LPR) as a concrete showcase.</w:t>
      </w:r>
      <w:r>
        <w:t xml:space="preserve"> </w:t>
      </w:r>
      <w:r>
        <w:t xml:space="preserve">The methodology combines a full-grid synthetic sweep of the degradation parameter space with two</w:t>
      </w:r>
      <w:r>
        <w:t xml:space="preserve"> </w:t>
      </w:r>
      <w:r>
        <w:t xml:space="preserve">summary measures: a boundary area-under-curve that quantifies the fraction of parameter space</w:t>
      </w:r>
      <w:r>
        <w:t xml:space="preserve"> </w:t>
      </w:r>
      <w:r>
        <w:t xml:space="preserve">where inference succeeds, and a reliability score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that measures the frequency and depth of</w:t>
      </w:r>
      <w:r>
        <w:t xml:space="preserve"> </w:t>
      </w:r>
      <w:r>
        <w:t xml:space="preserve">interior failures. For the LPR showcase the parameter space is the oblique-angle grid</w:t>
      </w:r>
      <w:r>
        <w:t xml:space="preserve"> </w:t>
      </w:r>
      <m:oMath>
        <m:r>
          <m:rPr>
            <m:sty m:val="p"/>
          </m:rPr>
          <m:t>[</m:t>
        </m:r>
        <m:sSup>
          <m:e>
            <m:r>
              <m:t>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89</m:t>
            </m:r>
          </m:e>
          <m:sup>
            <m:r>
              <m:rPr>
                <m:sty m:val="p"/>
              </m:rPr>
              <m:t>∘</m:t>
            </m:r>
          </m:sup>
        </m:sSup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sampled by Scrambled Sobol sequences, the degradation combines</w:t>
      </w:r>
      <w:r>
        <w:t xml:space="preserve"> </w:t>
      </w:r>
      <w:r>
        <w:t xml:space="preserve">homographic projection with realistic camera artifacts, and the downstream utility is</w:t>
      </w:r>
      <w:r>
        <w:t xml:space="preserve"> </w:t>
      </w:r>
      <w:r>
        <w:t xml:space="preserve">plate-level optical character recognition accuracy. Five restoration architectures are trained</w:t>
      </w:r>
      <w:r>
        <w:t xml:space="preserve"> </w:t>
      </w:r>
      <w:r>
        <w:t xml:space="preserve">and evaluated on the shared grid: U-Net, an angle-conditioned U-Net, Restormer, Pix2Pix, and an</w:t>
      </w:r>
      <w:r>
        <w:t xml:space="preserve"> </w:t>
      </w:r>
      <w:r>
        <w:t xml:space="preserve">SR3 diffusion model. Approximately</w:t>
      </w:r>
      <w:r>
        <w:t xml:space="preserve"> </w:t>
      </w:r>
      <m:oMath>
        <m:r>
          <m:t>93.4</m:t>
        </m:r>
        <m:r>
          <m:rPr>
            <m:sty m:val="p"/>
          </m:rPr>
          <m:t>%</m:t>
        </m:r>
      </m:oMath>
      <w:r>
        <w:t xml:space="preserve"> </w:t>
      </w:r>
      <w:r>
        <w:t xml:space="preserve">of the angle grid is recoverable by the best</w:t>
      </w:r>
      <w:r>
        <w:t xml:space="preserve"> </w:t>
      </w:r>
      <w:r>
        <w:t xml:space="preserve">evaluated model; recovery degrades sharply beyond roughly</w:t>
      </w:r>
      <w:r>
        <w:t xml:space="preserve"> </w:t>
      </w:r>
      <m:oMath>
        <m:sSup>
          <m:e>
            <m:r>
              <m:t>80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 </w:t>
      </w:r>
      <w:r>
        <w:t xml:space="preserve">in both axes</w:t>
      </w:r>
      <w:r>
        <w:t xml:space="preserve"> </w:t>
      </w:r>
      <w:r>
        <w:t xml:space="preserve">simultaneously, and lateral rotations are consistently harder to reconstruct than elevational</w:t>
      </w:r>
      <w:r>
        <w:t xml:space="preserve"> </w:t>
      </w:r>
      <w:r>
        <w:t xml:space="preserve">ones. Discriminative architectures outperform generative models on coverage, training</w:t>
      </w:r>
      <w:r>
        <w:t xml:space="preserve"> </w:t>
      </w:r>
      <w:r>
        <w:t xml:space="preserve">efficiency, and interior consistency. All five models cluster within a narrow AUC band of</w:t>
      </w:r>
      <w:r>
        <w:t xml:space="preserve"> </w:t>
      </w:r>
      <m:oMath>
        <m:r>
          <m:t>0.89</m:t>
        </m:r>
      </m:oMath>
      <w:r>
        <w:t xml:space="preserve">–</w:t>
      </w:r>
      <m:oMath>
        <m:r>
          <m:t>0.92</m:t>
        </m:r>
      </m:oMath>
      <w:r>
        <w:t xml:space="preserve"> </w:t>
      </w:r>
      <w:r>
        <w:t xml:space="preserve">and share the same</w:t>
      </w:r>
      <w:r>
        <w:t xml:space="preserve"> </w:t>
      </w:r>
      <m:oMath>
        <m:r>
          <m:t>α</m:t>
        </m:r>
        <m:r>
          <m:rPr>
            <m:sty m:val="p"/>
          </m:rPr>
          <m:t>/</m:t>
        </m:r>
        <m:r>
          <m:t>β</m:t>
        </m:r>
      </m:oMath>
      <w:r>
        <w:t xml:space="preserve"> </w:t>
      </w:r>
      <w:r>
        <w:t xml:space="preserve">asymmetry, indicating that the shape of the</w:t>
      </w:r>
      <w:r>
        <w:t xml:space="preserve"> </w:t>
      </w:r>
      <w:r>
        <w:t xml:space="preserve">recoverable region is determined primarily by sensing geometry rather than by the choice of</w:t>
      </w:r>
      <w:r>
        <w:t xml:space="preserve"> </w:t>
      </w:r>
      <w:r>
        <w:t xml:space="preserve">architecture.</w:t>
      </w:r>
    </w:p>
    <w:bookmarkEnd w:id="11"/>
    <w:p>
      <w:pPr>
        <w:pStyle w:val="Keywords"/>
        <w:jc w:val="both"/>
        <w:keepNext w:val="0"/>
        <w:keepLines w:val="0"/>
        <w:widowControl w:val="1"/>
      </w:pPr>
      <w:r>
        <w:rPr>
          <w:b/>
          <w:bCs/>
        </w:rPr>
        <w:t xml:space="preserve">Keywords:</w:t>
      </w:r>
      <w:r>
        <w:t xml:space="preserve"> </w:t>
      </w:r>
      <w:r>
        <w:t xml:space="preserve">opportunistic sensing · license plate recognition · smart city cameras ·</w:t>
      </w:r>
      <w:r>
        <w:t xml:space="preserve"> </w:t>
      </w:r>
      <w:r>
        <w:t xml:space="preserve">oblique-view restoration · deep learning · recoverability boundary ·</w:t>
      </w:r>
      <w:r>
        <w:t xml:space="preserve"> </w:t>
      </w:r>
      <w:r>
        <w:t xml:space="preserve">urban surveillance infrastructure</w:t>
      </w:r>
    </w:p>
    <w:bookmarkEnd w:id="12"/>
    <w:bookmarkStart w:id="13" w:name="introduction"/>
    <w:p>
      <w:pPr>
        <w:pStyle w:val="Heading2"/>
        <w:keepNext/>
        <w:keepLines/>
        <w:widowControl w:val="1"/>
      </w:pPr>
      <w:r>
        <w:t xml:space="preserve">1. Introduction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Urban infrastructure routinely accumulates data from sensors installed for one purpose that can</w:t>
      </w:r>
      <w:r>
        <w:t xml:space="preserve"> </w:t>
      </w:r>
      <w:r>
        <w:t xml:space="preserve">be reused for another at near-zero marginal cost. Smartphone accelerometers, originally built for</w:t>
      </w:r>
      <w:r>
        <w:t xml:space="preserve"> </w:t>
      </w:r>
      <w:r>
        <w:t xml:space="preserve">screen-orientation and step counting, have been used to map road-surface defects from ordinary</w:t>
      </w:r>
      <w:r>
        <w:t xml:space="preserve"> </w:t>
      </w:r>
      <w:r>
        <w:t xml:space="preserve">driving (</w:t>
      </w:r>
      <w:hyperlink w:anchor="r28">
        <w:r>
          <w:rPr>
            <w:rStyle w:val="Hyperlink"/>
          </w:rPr>
          <w:t xml:space="preserve">Eriksson et al., 2008</w:t>
        </w:r>
      </w:hyperlink>
      <w:r>
        <w:t xml:space="preserve">). Smart-meter electricity readings,</w:t>
      </w:r>
      <w:r>
        <w:t xml:space="preserve"> </w:t>
      </w:r>
      <w:r>
        <w:t xml:space="preserve">installed for billing, carry enough detail to infer appliance-level activity patterns. Ambient</w:t>
      </w:r>
      <w:r>
        <w:t xml:space="preserve"> </w:t>
      </w:r>
      <w:r>
        <w:t xml:space="preserve">microphones on mobile devices, deployed for voice assistants, can estimate traffic density and</w:t>
      </w:r>
      <w:r>
        <w:t xml:space="preserve"> </w:t>
      </w:r>
      <w:r>
        <w:t xml:space="preserve">crowd activity (</w:t>
      </w:r>
      <w:hyperlink w:anchor="r26">
        <w:r>
          <w:rPr>
            <w:rStyle w:val="Hyperlink"/>
          </w:rPr>
          <w:t xml:space="preserve">Lane et al., 2010</w:t>
        </w:r>
      </w:hyperlink>
      <w:r>
        <w:t xml:space="preserve">). Parking-sensor magnetometers</w:t>
      </w:r>
      <w:r>
        <w:t xml:space="preserve"> </w:t>
      </w:r>
      <w:r>
        <w:t xml:space="preserve">and pedestrian-counter beam-breakers similarly admit secondary interpretations beyond their</w:t>
      </w:r>
      <w:r>
        <w:t xml:space="preserve"> </w:t>
      </w:r>
      <w:r>
        <w:t xml:space="preserve">design specification. This pattern, which Campbell et al.</w:t>
      </w:r>
      <w:r>
        <w:t xml:space="preserve"> </w:t>
      </w:r>
      <w:r>
        <w:t xml:space="preserve">(</w:t>
      </w:r>
      <w:hyperlink w:anchor="r9">
        <w:r>
          <w:rPr>
            <w:rStyle w:val="Hyperlink"/>
          </w:rPr>
          <w:t xml:space="preserve">2008</w:t>
        </w:r>
      </w:hyperlink>
      <w:r>
        <w:t xml:space="preserve">) and Ganti et al.</w:t>
      </w:r>
      <w:r>
        <w:t xml:space="preserve"> </w:t>
      </w:r>
      <w:r>
        <w:t xml:space="preserve">(</w:t>
      </w:r>
      <w:hyperlink w:anchor="r10">
        <w:r>
          <w:rPr>
            <w:rStyle w:val="Hyperlink"/>
          </w:rPr>
          <w:t xml:space="preserve">2011</w:t>
        </w:r>
      </w:hyperlink>
      <w:r>
        <w:t xml:space="preserve">) termed</w:t>
      </w:r>
      <w:r>
        <w:t xml:space="preserve"> </w:t>
      </w:r>
      <w:r>
        <w:rPr>
          <w:i/>
          <w:iCs/>
        </w:rPr>
        <w:t xml:space="preserve">opportunistic sensing</w:t>
      </w:r>
      <w:r>
        <w:t xml:space="preserve">, has the same</w:t>
      </w:r>
      <w:r>
        <w:t xml:space="preserve"> </w:t>
      </w:r>
      <w:r>
        <w:t xml:space="preserve">underlying structure in every case: a sensor deployed for purpose A produces a signal rich enough</w:t>
      </w:r>
      <w:r>
        <w:t xml:space="preserve"> </w:t>
      </w:r>
      <w:r>
        <w:t xml:space="preserve">to support a secondary inference B, provided B's signal survives the sensor's original acquisition</w:t>
      </w:r>
      <w:r>
        <w:t xml:space="preserve"> </w:t>
      </w:r>
      <w:r>
        <w:t xml:space="preserve">constraints. The practical question is rarely whether opportunistic reuse is possible in</w:t>
      </w:r>
      <w:r>
        <w:t xml:space="preserve"> </w:t>
      </w:r>
      <w:r>
        <w:t xml:space="preserve">principle, but where in the space of uncontrolled acquisition conditions the secondary inference</w:t>
      </w:r>
      <w:r>
        <w:t xml:space="preserve"> </w:t>
      </w:r>
      <w:r>
        <w:t xml:space="preserve">remains reliable.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Imaging sensors are the most information-dense instance of this pattern. Smart cities host over</w:t>
      </w:r>
      <w:r>
        <w:t xml:space="preserve"> </w:t>
      </w:r>
      <w:r>
        <w:t xml:space="preserve">one billion surveillance cameras (</w:t>
      </w:r>
      <w:hyperlink w:anchor="r13">
        <w:r>
          <w:rPr>
            <w:rStyle w:val="Hyperlink"/>
          </w:rPr>
          <w:t xml:space="preserve">Kitchin, 2014</w:t>
        </w:r>
      </w:hyperlink>
      <w:r>
        <w:t xml:space="preserve">), together with</w:t>
      </w:r>
      <w:r>
        <w:t xml:space="preserve"> </w:t>
      </w:r>
      <w:r>
        <w:t xml:space="preserve">an order of magnitude more mobile cameras on vehicles and handheld devices, almost none</w:t>
      </w:r>
      <w:r>
        <w:t xml:space="preserve"> </w:t>
      </w:r>
      <w:r>
        <w:t xml:space="preserve">calibrated for any specific downstream inference. When a vehicle of interest passes within range</w:t>
      </w:r>
      <w:r>
        <w:t xml:space="preserve"> </w:t>
      </w:r>
      <w:r>
        <w:t xml:space="preserve">of one of these cameras, the captured image can be the only available record. Because the sensor</w:t>
      </w:r>
      <w:r>
        <w:t xml:space="preserve"> </w:t>
      </w:r>
      <w:r>
        <w:t xml:space="preserve">was positioned for an unrelated task, however, the plate typically appears at oblique angles,</w:t>
      </w:r>
      <w:r>
        <w:t xml:space="preserve"> </w:t>
      </w:r>
      <w:r>
        <w:t xml:space="preserve">foreshortened, blurred, and compressed, conditions that cause standard license plate recognition</w:t>
      </w:r>
      <w:r>
        <w:t xml:space="preserve"> </w:t>
      </w:r>
      <w:r>
        <w:t xml:space="preserve">(LPR) pipelines to fail. Modern deep-learning image restoration plausibly recovers such plates,</w:t>
      </w:r>
      <w:r>
        <w:t xml:space="preserve"> </w:t>
      </w:r>
      <w:r>
        <w:t xml:space="preserve">but the angular extent of this recovery has not been mapped. This paper asks: given a camera</w:t>
      </w:r>
      <w:r>
        <w:t xml:space="preserve"> </w:t>
      </w:r>
      <w:r>
        <w:t xml:space="preserve">that cannot be repositioned, at what viewing angles does enough signal survive for automatic</w:t>
      </w:r>
      <w:r>
        <w:t xml:space="preserve"> </w:t>
      </w:r>
      <w:r>
        <w:t xml:space="preserve">LPR to succeed?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Public benchmarks for recognition tasks are typically task-purposed: their captures are curated</w:t>
      </w:r>
      <w:r>
        <w:t xml:space="preserve"> </w:t>
      </w:r>
      <w:r>
        <w:t xml:space="preserve">under controlled or semi-controlled conditions that foreground readability and downstream</w:t>
      </w:r>
      <w:r>
        <w:t xml:space="preserve"> </w:t>
      </w:r>
      <w:r>
        <w:t xml:space="preserve">success. This curation is appropriate when the task is the primary goal of the sensor, but it</w:t>
      </w:r>
      <w:r>
        <w:t xml:space="preserve"> </w:t>
      </w:r>
      <w:r>
        <w:t xml:space="preserve">leaves an inferential gap when the same sensor is used opportunistically for a secondary task.</w:t>
      </w:r>
      <w:r>
        <w:t xml:space="preserve"> </w:t>
      </w:r>
      <w:r>
        <w:t xml:space="preserve">The conditions under which opportunistic sensing operates, namely the extreme corners of the</w:t>
      </w:r>
      <w:r>
        <w:t xml:space="preserve"> </w:t>
      </w:r>
      <w:r>
        <w:t xml:space="preserve">acquisition-parameter space, are systematically underrepresented in benchmarks that were never</w:t>
      </w:r>
      <w:r>
        <w:t xml:space="preserve"> </w:t>
      </w:r>
      <w:r>
        <w:t xml:space="preserve">designed to cover them. A synthetic benchmark that samples the full parameter grid, including</w:t>
      </w:r>
      <w:r>
        <w:t xml:space="preserve"> </w:t>
      </w:r>
      <w:r>
        <w:t xml:space="preserve">the extreme corners, is therefore a natural tool for characterising the boundary of what</w:t>
      </w:r>
      <w:r>
        <w:t xml:space="preserve"> </w:t>
      </w:r>
      <w:r>
        <w:t xml:space="preserve">opportunistic sensing can recover; its role is not to replace real-world evaluation but to map</w:t>
      </w:r>
      <w:r>
        <w:t xml:space="preserve"> </w:t>
      </w:r>
      <w:r>
        <w:t xml:space="preserve">a regime that real benchmarks do not reach.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Existing LPR research assumes near-frontal capture, typically</w:t>
      </w:r>
      <w:r>
        <w:t xml:space="preserve"> </w:t>
      </w:r>
      <m:oMath>
        <m:r>
          <m:rPr>
            <m:sty m:val="p"/>
          </m:rPr>
          <m:t>|</m:t>
        </m:r>
        <m:r>
          <m:t>α</m:t>
        </m:r>
        <m:r>
          <m:rPr>
            <m:sty m:val="p"/>
          </m:rPr>
          <m:t>|</m:t>
        </m:r>
        <m:r>
          <m:rPr>
            <m:sty m:val="p"/>
          </m:rPr>
          <m:t>,</m:t>
        </m:r>
        <m:r>
          <m:rPr>
            <m:sty m:val="p"/>
          </m:rPr>
          <m:t>|</m:t>
        </m:r>
        <m:r>
          <m:t>β</m:t>
        </m:r>
        <m:r>
          <m:rPr>
            <m:sty m:val="p"/>
          </m:rPr>
          <m:t>|</m:t>
        </m:r>
        <m:r>
          <m:rPr>
            <m:sty m:val="p"/>
          </m:rPr>
          <m:t>≤</m:t>
        </m:r>
        <m:sSup>
          <m:e>
            <m:r>
              <m:t>30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,</w:t>
      </w:r>
      <w:r>
        <w:t xml:space="preserve"> </w:t>
      </w:r>
      <w:r>
        <w:t xml:space="preserve">and degrades rapidly beyond this range</w:t>
      </w:r>
      <w:r>
        <w:t xml:space="preserve"> </w:t>
      </w:r>
      <w:r>
        <w:t xml:space="preserve">(</w:t>
      </w:r>
      <w:hyperlink w:anchor="r7">
        <w:r>
          <w:rPr>
            <w:rStyle w:val="Hyperlink"/>
          </w:rPr>
          <w:t xml:space="preserve">Shashirangana et al., 2021</w:t>
        </w:r>
      </w:hyperlink>
      <w:r>
        <w:t xml:space="preserve">;</w:t>
      </w:r>
      <w:r>
        <w:t xml:space="preserve"> </w:t>
      </w:r>
      <w:hyperlink w:anchor="r8">
        <w:r>
          <w:rPr>
            <w:rStyle w:val="Hyperlink"/>
          </w:rPr>
          <w:t xml:space="preserve">Anagnostopoulos et al., 2008</w:t>
        </w:r>
      </w:hyperlink>
      <w:r>
        <w:t xml:space="preserve">).</w:t>
      </w:r>
      <w:r>
        <w:t xml:space="preserve"> </w:t>
      </w:r>
      <w:r>
        <w:t xml:space="preserve">In opportunistic captures, by contrast, the plate routinely appears at</w:t>
      </w:r>
      <w:r>
        <w:t xml:space="preserve"> </w:t>
      </w:r>
      <m:oMath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&gt;</m:t>
        </m:r>
        <m:sSup>
          <m:e>
            <m:r>
              <m:t>60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.</w:t>
      </w:r>
      <w:r>
        <w:t xml:space="preserve"> </w:t>
      </w:r>
      <w:r>
        <w:t xml:space="preserve">The angular extent within which modern deep-learning image restoration can still recover a</w:t>
      </w:r>
      <w:r>
        <w:t xml:space="preserve"> </w:t>
      </w:r>
      <w:r>
        <w:t xml:space="preserve">readable plate has not been mapped.</w:t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Contributions.</w:t>
      </w:r>
      <w:r>
        <w:t xml:space="preserve"> </w:t>
      </w:r>
      <w:r>
        <w:t xml:space="preserve">The primary contribution of this paper is methodological: we</w:t>
      </w:r>
      <w:r>
        <w:t xml:space="preserve"> </w:t>
      </w:r>
      <w:r>
        <w:t xml:space="preserve">introduce</w:t>
      </w:r>
      <w:r>
        <w:t xml:space="preserve"> </w:t>
      </w:r>
      <w:r>
        <w:rPr>
          <w:i/>
          <w:iCs/>
        </w:rPr>
        <w:t xml:space="preserve">recoverability maps</w:t>
      </w:r>
      <w:r>
        <w:t xml:space="preserve">, a task-agnostic framework for quantifying where in a</w:t>
      </w:r>
      <w:r>
        <w:t xml:space="preserve"> </w:t>
      </w:r>
      <w:r>
        <w:t xml:space="preserve">parameterised degradation space an opportunistic sensing task remains reliable, together with two</w:t>
      </w:r>
      <w:r>
        <w:t xml:space="preserve"> </w:t>
      </w:r>
      <w:r>
        <w:t xml:space="preserve">summary measures (a boundary area-under-curve and a reliability score</w:t>
      </w:r>
      <w:r>
        <w:t xml:space="preserve"> </w:t>
      </w:r>
      <m:oMath>
        <m:r>
          <m:t>F</m:t>
        </m:r>
      </m:oMath>
      <w:r>
        <w:t xml:space="preserve">) that are adapted from</w:t>
      </w:r>
      <w:r>
        <w:t xml:space="preserve"> </w:t>
      </w:r>
      <w:r>
        <w:t xml:space="preserve">classical operating-characteristic and envelope analyses</w:t>
      </w:r>
      <w:r>
        <w:t xml:space="preserve"> </w:t>
      </w:r>
      <w:r>
        <w:t xml:space="preserve">(</w:t>
      </w:r>
      <w:hyperlink w:anchor="r36">
        <w:r>
          <w:rPr>
            <w:rStyle w:val="Hyperlink"/>
          </w:rPr>
          <w:t xml:space="preserve">Martin et al., 1997</w:t>
        </w:r>
      </w:hyperlink>
      <w:r>
        <w:t xml:space="preserve">)</w:t>
      </w:r>
      <w:r>
        <w:t xml:space="preserve"> </w:t>
      </w:r>
      <w:r>
        <w:t xml:space="preserve">to the two-dimensional setting. The framework is demonstrated on oblique-view LPR, yielding a</w:t>
      </w:r>
      <w:r>
        <w:t xml:space="preserve"> </w:t>
      </w:r>
      <w:r>
        <w:t xml:space="preserve">systematic empirical comparison of five deep-learning restoration architectures (U-Net,</w:t>
      </w:r>
      <w:r>
        <w:t xml:space="preserve"> </w:t>
      </w:r>
      <w:r>
        <w:t xml:space="preserve">angle-conditioned U-Net, Restormer, Pix2Pix, SR3 diffusion) on a shared</w:t>
      </w:r>
      <w:r>
        <w:t xml:space="preserve"> </w:t>
      </w:r>
      <m:oMath>
        <m:r>
          <m:rPr>
            <m:sty m:val="p"/>
          </m:rPr>
          <m:t>[</m:t>
        </m:r>
        <m:sSup>
          <m:e>
            <m:r>
              <m:t>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89</m:t>
            </m:r>
          </m:e>
          <m:sup>
            <m:r>
              <m:rPr>
                <m:sty m:val="p"/>
              </m:rPr>
              <m:t>∘</m:t>
            </m:r>
          </m:sup>
        </m:sSup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grid. Under the conditions of the LPR benchmark, approximately</w:t>
      </w:r>
      <w:r>
        <w:t xml:space="preserve"> </w:t>
      </w:r>
      <m:oMath>
        <m:r>
          <m:t>93.4</m:t>
        </m:r>
        <m:r>
          <m:rPr>
            <m:sty m:val="p"/>
          </m:rPr>
          <m:t>%</m:t>
        </m:r>
      </m:oMath>
      <w:r>
        <w:t xml:space="preserve"> </w:t>
      </w:r>
      <w:r>
        <w:t xml:space="preserve">of the angle grid is</w:t>
      </w:r>
      <w:r>
        <w:t xml:space="preserve"> </w:t>
      </w:r>
      <w:r>
        <w:t xml:space="preserve">recoverable by the best evaluated model, breakdown occurs beyond roughly</w:t>
      </w:r>
      <w:r>
        <w:t xml:space="preserve"> </w:t>
      </w:r>
      <m:oMath>
        <m:sSup>
          <m:e>
            <m:r>
              <m:t>80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 </w:t>
      </w:r>
      <w:r>
        <w:t xml:space="preserve">in both axes</w:t>
      </w:r>
      <w:r>
        <w:t xml:space="preserve"> </w:t>
      </w:r>
      <w:r>
        <w:t xml:space="preserve">simultaneously, lateral rotations are consistently harder than elevational ones, and PSNR tracks</w:t>
      </w:r>
      <w:r>
        <w:t xml:space="preserve"> </w:t>
      </w:r>
      <w:r>
        <w:t xml:space="preserve">OCR accuracy closely enough (</w:t>
      </w:r>
      <m:oMath>
        <m:sSup>
          <m:e>
            <m:r>
              <m:t>R</m:t>
            </m:r>
          </m:e>
          <m:sup>
            <m:r>
              <m:t>2</m:t>
            </m:r>
          </m:sup>
        </m:sSup>
        <m:r>
          <m:rPr>
            <m:sty m:val="p"/>
          </m:rPr>
          <m:t>=</m:t>
        </m:r>
        <m:r>
          <m:t>0.99</m:t>
        </m:r>
      </m:oMath>
      <w:r>
        <w:t xml:space="preserve">) to serve as a training-time surrogate. The instances</w:t>
      </w:r>
      <w:r>
        <w:t xml:space="preserve"> </w:t>
      </w:r>
      <w:r>
        <w:t xml:space="preserve">of the framework beyond LPR are sketched in Section 6.</w:t>
      </w:r>
    </w:p>
    <w:bookmarkEnd w:id="13"/>
    <w:p>
      <w:pPr>
        <w:pStyle w:val="BodyText"/>
        <w:jc w:val="center"/>
        <w:keepNext/>
        <w:keepLines/>
        <w:widowControl w:val="1"/>
      </w:pPr>
      <w:r>
        <w:drawing>
          <wp:inline>
            <wp:extent cx="5943600" cy="2971800"/>
            <wp:effectExtent b="0" l="0" r="0" t="0"/>
            <wp:docPr descr="Urban environment with diverse opportunistic imaging sensors capturing a vehicle" title="" id="15" name="Picture"/>
            <a:graphic>
              <a:graphicData uri="http://schemas.openxmlformats.org/drawingml/2006/picture">
                <pic:pic>
                  <pic:nvPicPr>
                    <pic:cNvPr descr="figures/city_opportunistic_sensing.png" id="16" name="Picture"/>
                    <pic:cNvPicPr>
                      <a:picLocks noChangeArrowheads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Fig. 1.</w:t>
      </w:r>
      <w:r>
        <w:t xml:space="preserve"> </w:t>
      </w:r>
      <w:r>
        <w:t xml:space="preserve">Opportunistic sensing in a smart city environment. Multiple imaging</w:t>
      </w:r>
      <w:r>
        <w:t xml:space="preserve"> </w:t>
      </w:r>
      <w:r>
        <w:t xml:space="preserve">sensors deployed for unrelated purposes, ATM machine cameras, body-worn cameras, vehicle</w:t>
      </w:r>
      <w:r>
        <w:t xml:space="preserve"> </w:t>
      </w:r>
      <w:r>
        <w:t xml:space="preserve">dashcams, pole-mounted CCTV, and handheld smartphones, incidentally capture a passing</w:t>
      </w:r>
      <w:r>
        <w:t xml:space="preserve"> </w:t>
      </w:r>
      <w:r>
        <w:t xml:space="preserve">vehicle at diverse, uncontrolled viewing angles. This paper asks at which of these angles</w:t>
      </w:r>
      <w:r>
        <w:t xml:space="preserve"> </w:t>
      </w:r>
      <w:r>
        <w:t xml:space="preserve">deep-learning image restoration can still recover a readable license plate from such</w:t>
      </w:r>
      <w:r>
        <w:t xml:space="preserve"> </w:t>
      </w:r>
      <w:r>
        <w:t xml:space="preserve">non-purpose-built captures.</w:t>
      </w:r>
    </w:p>
    <w:bookmarkStart w:id="21" w:name="related-work"/>
    <w:p>
      <w:pPr>
        <w:pStyle w:val="Heading2"/>
        <w:keepNext/>
        <w:keepLines/>
        <w:widowControl w:val="1"/>
      </w:pPr>
      <w:r>
        <w:t xml:space="preserve">2. Related Work</w:t>
      </w:r>
    </w:p>
    <w:bookmarkStart w:id="17" w:name="X6e8c6e98cffa85f242d4d98867bf22fde04f257"/>
    <w:p>
      <w:pPr>
        <w:pStyle w:val="Heading3"/>
        <w:keepNext/>
        <w:keepLines/>
        <w:widowControl w:val="1"/>
      </w:pPr>
      <w:r>
        <w:t xml:space="preserve">2.1. Opportunistic and Repurposed Urban Sensing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Opportunistic sensing, in which sensors deployed for one purpose are secondarily exploited for</w:t>
      </w:r>
      <w:r>
        <w:t xml:space="preserve"> </w:t>
      </w:r>
      <w:r>
        <w:t xml:space="preserve">another, has been systematically studied in mobile and pervasive computing. Burke et al.</w:t>
      </w:r>
      <w:r>
        <w:t xml:space="preserve"> </w:t>
      </w:r>
      <w:r>
        <w:t xml:space="preserve">(</w:t>
      </w:r>
      <w:hyperlink w:anchor="r27">
        <w:r>
          <w:rPr>
            <w:rStyle w:val="Hyperlink"/>
          </w:rPr>
          <w:t xml:space="preserve">2006</w:t>
        </w:r>
      </w:hyperlink>
      <w:r>
        <w:t xml:space="preserve">) introduced participatory sensing as a framework for</w:t>
      </w:r>
      <w:r>
        <w:t xml:space="preserve"> </w:t>
      </w:r>
      <w:r>
        <w:t xml:space="preserve">community-scale data collection using everyday mobile devices; Campbell et al.</w:t>
      </w:r>
      <w:r>
        <w:t xml:space="preserve"> </w:t>
      </w:r>
      <w:r>
        <w:t xml:space="preserve">(</w:t>
      </w:r>
      <w:hyperlink w:anchor="r9">
        <w:r>
          <w:rPr>
            <w:rStyle w:val="Hyperlink"/>
          </w:rPr>
          <w:t xml:space="preserve">2008</w:t>
        </w:r>
      </w:hyperlink>
      <w:r>
        <w:t xml:space="preserve">) and Ganti et al. (</w:t>
      </w:r>
      <w:hyperlink w:anchor="r10">
        <w:r>
          <w:rPr>
            <w:rStyle w:val="Hyperlink"/>
          </w:rPr>
          <w:t xml:space="preserve">2011</w:t>
        </w:r>
      </w:hyperlink>
      <w:r>
        <w:t xml:space="preserve">)</w:t>
      </w:r>
      <w:r>
        <w:t xml:space="preserve"> </w:t>
      </w:r>
      <w:r>
        <w:t xml:space="preserve">extended this to opportunistic inference from always-on smartphone sensors. Lane et al.</w:t>
      </w:r>
      <w:r>
        <w:t xml:space="preserve"> </w:t>
      </w:r>
      <w:r>
        <w:t xml:space="preserve">(</w:t>
      </w:r>
      <w:hyperlink w:anchor="r26">
        <w:r>
          <w:rPr>
            <w:rStyle w:val="Hyperlink"/>
          </w:rPr>
          <w:t xml:space="preserve">2010</w:t>
        </w:r>
      </w:hyperlink>
      <w:r>
        <w:t xml:space="preserve">) demonstrated that commodity accelerometers, microphones,</w:t>
      </w:r>
      <w:r>
        <w:t xml:space="preserve"> </w:t>
      </w:r>
      <w:r>
        <w:t xml:space="preserve">and cameras embedded in mobile phones can serve as general-purpose environmental monitors when</w:t>
      </w:r>
      <w:r>
        <w:t xml:space="preserve"> </w:t>
      </w:r>
      <w:r>
        <w:t xml:space="preserve">paired with appropriate inference algorithms. In urban systems research, related concepts include</w:t>
      </w:r>
      <w:r>
        <w:t xml:space="preserve"> </w:t>
      </w:r>
      <w:r>
        <w:t xml:space="preserve">volunteer geographic information (</w:t>
      </w:r>
      <w:hyperlink w:anchor="r14">
        <w:r>
          <w:rPr>
            <w:rStyle w:val="Hyperlink"/>
          </w:rPr>
          <w:t xml:space="preserve">Goodchild, 2007</w:t>
        </w:r>
      </w:hyperlink>
      <w:r>
        <w:t xml:space="preserve">) and the</w:t>
      </w:r>
      <w:r>
        <w:t xml:space="preserve"> </w:t>
      </w:r>
      <w:r>
        <w:t xml:space="preserve">broader data-driven city management paradigm</w:t>
      </w:r>
      <w:r>
        <w:t xml:space="preserve"> </w:t>
      </w:r>
      <w:r>
        <w:t xml:space="preserve">(</w:t>
      </w:r>
      <w:hyperlink w:anchor="r12">
        <w:r>
          <w:rPr>
            <w:rStyle w:val="Hyperlink"/>
          </w:rPr>
          <w:t xml:space="preserve">Batty, 2013</w:t>
        </w:r>
      </w:hyperlink>
      <w:r>
        <w:t xml:space="preserve">;</w:t>
      </w:r>
      <w:r>
        <w:t xml:space="preserve"> </w:t>
      </w:r>
      <w:hyperlink w:anchor="r13">
        <w:r>
          <w:rPr>
            <w:rStyle w:val="Hyperlink"/>
          </w:rPr>
          <w:t xml:space="preserve">Kitchin, 2014</w:t>
        </w:r>
      </w:hyperlink>
      <w:r>
        <w:t xml:space="preserve">).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The diversity of camera platforms in urban environments substantially widens the scope of</w:t>
      </w:r>
      <w:r>
        <w:t xml:space="preserve"> </w:t>
      </w:r>
      <w:r>
        <w:t xml:space="preserve">opportunistic sensing beyond fixed infrastructure, following the broader pattern established by</w:t>
      </w:r>
      <w:r>
        <w:t xml:space="preserve"> </w:t>
      </w:r>
      <w:r>
        <w:t xml:space="preserve">Eriksson et al. (</w:t>
      </w:r>
      <w:hyperlink w:anchor="r28">
        <w:r>
          <w:rPr>
            <w:rStyle w:val="Hyperlink"/>
          </w:rPr>
          <w:t xml:space="preserve">2008</w:t>
        </w:r>
      </w:hyperlink>
      <w:r>
        <w:t xml:space="preserve">) for vehicle-mounted sensing without</w:t>
      </w:r>
      <w:r>
        <w:t xml:space="preserve"> </w:t>
      </w:r>
      <w:r>
        <w:t xml:space="preserve">dedicated sensing missions.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Urban computing (</w:t>
      </w:r>
      <w:hyperlink w:anchor="r24">
        <w:r>
          <w:rPr>
            <w:rStyle w:val="Hyperlink"/>
          </w:rPr>
          <w:t xml:space="preserve">Zheng et al., 2014</w:t>
        </w:r>
      </w:hyperlink>
      <w:r>
        <w:t xml:space="preserve">) and smart city frameworks</w:t>
      </w:r>
      <w:r>
        <w:t xml:space="preserve"> </w:t>
      </w:r>
      <w:r>
        <w:t xml:space="preserve">(</w:t>
      </w:r>
      <w:hyperlink w:anchor="r25">
        <w:r>
          <w:rPr>
            <w:rStyle w:val="Hyperlink"/>
          </w:rPr>
          <w:t xml:space="preserve">Townsend, 2013</w:t>
        </w:r>
      </w:hyperlink>
      <w:r>
        <w:t xml:space="preserve">) emphasise algorithmic repurposing of existing</w:t>
      </w:r>
      <w:r>
        <w:t xml:space="preserve"> </w:t>
      </w:r>
      <w:r>
        <w:t xml:space="preserve">infrastructure to avoid capital expenditure. Two adjacent literatures inform the present study.</w:t>
      </w:r>
      <w:r>
        <w:t xml:space="preserve"> </w:t>
      </w:r>
      <w:r>
        <w:t xml:space="preserve">First, urban camera geometry: the classical calibration framework of Zhang</w:t>
      </w:r>
      <w:r>
        <w:t xml:space="preserve"> </w:t>
      </w:r>
      <w:r>
        <w:t xml:space="preserve">(</w:t>
      </w:r>
      <w:hyperlink w:anchor="r34">
        <w:r>
          <w:rPr>
            <w:rStyle w:val="Hyperlink"/>
          </w:rPr>
          <w:t xml:space="preserve">2000</w:t>
        </w:r>
      </w:hyperlink>
      <w:r>
        <w:t xml:space="preserve">) provides the mathematical foundation for estimating the</w:t>
      </w:r>
      <w:r>
        <w:t xml:space="preserve"> </w:t>
      </w:r>
      <w:r>
        <w:t xml:space="preserve">oblique pose of arbitrary fixed cameras from minimal scene content, a prerequisite for relating</w:t>
      </w:r>
      <w:r>
        <w:t xml:space="preserve"> </w:t>
      </w:r>
      <w:r>
        <w:t xml:space="preserve">any empirical recoverability map to a specific urban sensor in the field. Second, privacy in</w:t>
      </w:r>
      <w:r>
        <w:t xml:space="preserve"> </w:t>
      </w:r>
      <w:r>
        <w:t xml:space="preserve">secondary-use imagery: Frome et al. (</w:t>
      </w:r>
      <w:hyperlink w:anchor="r35">
        <w:r>
          <w:rPr>
            <w:rStyle w:val="Hyperlink"/>
          </w:rPr>
          <w:t xml:space="preserve">2009</w:t>
        </w:r>
      </w:hyperlink>
      <w:r>
        <w:t xml:space="preserve">) documented large-scale</w:t>
      </w:r>
      <w:r>
        <w:t xml:space="preserve"> </w:t>
      </w:r>
      <w:r>
        <w:t xml:space="preserve">face and license-plate blurring in Google Street View, establishing that extracting identity</w:t>
      </w:r>
      <w:r>
        <w:t xml:space="preserve"> </w:t>
      </w:r>
      <w:r>
        <w:t xml:space="preserve">information from opportunistic captures carries well-understood ethical constraints which any</w:t>
      </w:r>
      <w:r>
        <w:t xml:space="preserve"> </w:t>
      </w:r>
      <w:r>
        <w:t xml:space="preserve">deployment of the methods studied here must respect. Recent deep learning advances make such</w:t>
      </w:r>
      <w:r>
        <w:t xml:space="preserve"> </w:t>
      </w:r>
      <w:r>
        <w:t xml:space="preserve">repurposing technically viable: where classical computer vision required controlled illumination,</w:t>
      </w:r>
      <w:r>
        <w:t xml:space="preserve"> </w:t>
      </w:r>
      <w:r>
        <w:t xml:space="preserve">known geometry, and near-frontal capture, modern restoration pipelines can recover structured</w:t>
      </w:r>
      <w:r>
        <w:t xml:space="preserve"> </w:t>
      </w:r>
      <w:r>
        <w:t xml:space="preserve">information from imagery that would previously have been discarded. The present work contributes</w:t>
      </w:r>
      <w:r>
        <w:t xml:space="preserve"> </w:t>
      </w:r>
      <w:r>
        <w:t xml:space="preserve">a first quantitative angular boundary for when this AI-enabled repurposing succeeds for LPR under</w:t>
      </w:r>
      <w:r>
        <w:t xml:space="preserve"> </w:t>
      </w:r>
      <w:r>
        <w:t xml:space="preserve">a controlled synthetic pipeline.</w:t>
      </w:r>
    </w:p>
    <w:bookmarkEnd w:id="17"/>
    <w:bookmarkStart w:id="18" w:name="X6c7f34206a562fe805633d4e3962df0408eab55"/>
    <w:p>
      <w:pPr>
        <w:pStyle w:val="Heading3"/>
        <w:keepNext/>
        <w:keepLines/>
        <w:widowControl w:val="1"/>
      </w:pPr>
      <w:r>
        <w:t xml:space="preserve">2.2. License Plate Recognition and Its Assumptions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LPR is a mature technology in controlled conditions. Comprehensive surveys</w:t>
      </w:r>
      <w:r>
        <w:t xml:space="preserve"> </w:t>
      </w:r>
      <w:r>
        <w:t xml:space="preserve">(</w:t>
      </w:r>
      <w:hyperlink w:anchor="r7">
        <w:r>
          <w:rPr>
            <w:rStyle w:val="Hyperlink"/>
          </w:rPr>
          <w:t xml:space="preserve">Shashirangana et al., 2021</w:t>
        </w:r>
      </w:hyperlink>
      <w:r>
        <w:t xml:space="preserve">;</w:t>
      </w:r>
      <w:r>
        <w:t xml:space="preserve"> </w:t>
      </w:r>
      <w:hyperlink w:anchor="r8">
        <w:r>
          <w:rPr>
            <w:rStyle w:val="Hyperlink"/>
          </w:rPr>
          <w:t xml:space="preserve">Anagnostopoulos et al., 2008</w:t>
        </w:r>
      </w:hyperlink>
      <w:r>
        <w:t xml:space="preserve">)</w:t>
      </w:r>
      <w:r>
        <w:t xml:space="preserve"> </w:t>
      </w:r>
      <w:r>
        <w:t xml:space="preserve">document pipelines covering plate detection, character segmentation, and OCR, with commercial systems</w:t>
      </w:r>
      <w:r>
        <w:t xml:space="preserve"> </w:t>
      </w:r>
      <w:r>
        <w:t xml:space="preserve">achieving near-perfect accuracy when plates are captured within</w:t>
      </w:r>
      <w:r>
        <w:t xml:space="preserve"> </w:t>
      </w:r>
      <m:oMath>
        <m:r>
          <m:rPr>
            <m:sty m:val="p"/>
          </m:rPr>
          <m:t>±</m:t>
        </m:r>
        <m:sSup>
          <m:e>
            <m:r>
              <m:t>30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 </w:t>
      </w:r>
      <w:r>
        <w:t xml:space="preserve">of the optical axis.</w:t>
      </w:r>
      <w:r>
        <w:t xml:space="preserve"> </w:t>
      </w:r>
      <w:r>
        <w:t xml:space="preserve">Oblique-view LPR pipelines exist, but they follow a detection-then-deskew paradigm that assumes the</w:t>
      </w:r>
      <w:r>
        <w:t xml:space="preserve"> </w:t>
      </w:r>
      <w:r>
        <w:t xml:space="preserve">plate is already roughly readable before processing: homography estimation corrects for known moderate</w:t>
      </w:r>
      <w:r>
        <w:t xml:space="preserve"> </w:t>
      </w:r>
      <w:r>
        <w:t xml:space="preserve">angles but breaks down once the plate is severely foreshortened.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Laroca et al. (</w:t>
      </w:r>
      <w:hyperlink w:anchor="r23">
        <w:r>
          <w:rPr>
            <w:rStyle w:val="Hyperlink"/>
          </w:rPr>
          <w:t xml:space="preserve">2021</w:t>
        </w:r>
      </w:hyperlink>
      <w:r>
        <w:t xml:space="preserve">) constructed a large-scale benchmark for</w:t>
      </w:r>
      <w:r>
        <w:t xml:space="preserve"> </w:t>
      </w:r>
      <w:r>
        <w:t xml:space="preserve">end-to-end automatic LPR and demonstrated that recognition accuracy degrades substantially at</w:t>
      </w:r>
      <w:r>
        <w:t xml:space="preserve"> </w:t>
      </w:r>
      <w:r>
        <w:t xml:space="preserve">oblique capture angles even for state-of-the-art YOLO-based detectors, confirming the practical</w:t>
      </w:r>
      <w:r>
        <w:t xml:space="preserve"> </w:t>
      </w:r>
      <w:r>
        <w:t xml:space="preserve">gap addressed here. Their detection-first pipeline implicitly assumes digit contrast and horizontal</w:t>
      </w:r>
      <w:r>
        <w:t xml:space="preserve"> </w:t>
      </w:r>
      <w:r>
        <w:t xml:space="preserve">separation remain sufficient for segmentation, an assumption that fails once azimuthal rotation</w:t>
      </w:r>
      <w:r>
        <w:t xml:space="preserve"> </w:t>
      </w:r>
      <w:r>
        <w:t xml:space="preserve">exceeds approximately</w:t>
      </w:r>
      <w:r>
        <w:t xml:space="preserve"> </w:t>
      </w:r>
      <m:oMath>
        <m:sSup>
          <m:e>
            <m:r>
              <m:t>45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. Laroca et al. (</w:t>
      </w:r>
      <w:hyperlink w:anchor="r29">
        <w:r>
          <w:rPr>
            <w:rStyle w:val="Hyperlink"/>
          </w:rPr>
          <w:t xml:space="preserve">2022</w:t>
        </w:r>
      </w:hyperlink>
      <w:r>
        <w:t xml:space="preserve">) later</w:t>
      </w:r>
      <w:r>
        <w:t xml:space="preserve"> </w:t>
      </w:r>
      <w:r>
        <w:t xml:space="preserve">expanded this line with RodoSol-ALPR, explicitly evaluating cross-dataset generalisation and</w:t>
      </w:r>
      <w:r>
        <w:t xml:space="preserve"> </w:t>
      </w:r>
      <w:r>
        <w:t xml:space="preserve">showing that LPR performance can drop sharply when the evaluation distribution differs from</w:t>
      </w:r>
      <w:r>
        <w:t xml:space="preserve"> </w:t>
      </w:r>
      <w:r>
        <w:t xml:space="preserve">training. Silva and Jung (</w:t>
      </w:r>
      <w:hyperlink w:anchor="r30">
        <w:r>
          <w:rPr>
            <w:rStyle w:val="Hyperlink"/>
          </w:rPr>
          <w:t xml:space="preserve">2018</w:t>
        </w:r>
      </w:hyperlink>
      <w:r>
        <w:t xml:space="preserve">) proposed WPOD-NET to rectify</w:t>
      </w:r>
      <w:r>
        <w:t xml:space="preserve"> </w:t>
      </w:r>
      <w:r>
        <w:t xml:space="preserve">oblique plates via per-instance planar warping before recognition, a detect-then-deskew approach</w:t>
      </w:r>
      <w:r>
        <w:t xml:space="preserve"> </w:t>
      </w:r>
      <w:r>
        <w:t xml:space="preserve">that works well up to moderate angles but still requires the plate to be roughly readable. Xu et</w:t>
      </w:r>
      <w:r>
        <w:t xml:space="preserve"> </w:t>
      </w:r>
      <w:r>
        <w:t xml:space="preserve">al. (</w:t>
      </w:r>
      <w:hyperlink w:anchor="r31">
        <w:r>
          <w:rPr>
            <w:rStyle w:val="Hyperlink"/>
          </w:rPr>
          <w:t xml:space="preserve">2021</w:t>
        </w:r>
      </w:hyperlink>
      <w:r>
        <w:t xml:space="preserve">) built an explicit perspective-rectification module</w:t>
      </w:r>
      <w:r>
        <w:t xml:space="preserve"> </w:t>
      </w:r>
      <w:r>
        <w:t xml:space="preserve">into the LPR pipeline. A parallel line of work treats oblique LPR as a super-resolution problem:</w:t>
      </w:r>
      <w:r>
        <w:t xml:space="preserve"> </w:t>
      </w:r>
      <w:r>
        <w:t xml:space="preserve">Zou et al. (</w:t>
      </w:r>
      <w:hyperlink w:anchor="r32">
        <w:r>
          <w:rPr>
            <w:rStyle w:val="Hyperlink"/>
          </w:rPr>
          <w:t xml:space="preserve">2019</w:t>
        </w:r>
      </w:hyperlink>
      <w:r>
        <w:t xml:space="preserve">) target extremely low-resolution plates, and</w:t>
      </w:r>
      <w:r>
        <w:t xml:space="preserve"> </w:t>
      </w:r>
      <w:r>
        <w:t xml:space="preserve">Hamdi et al. (</w:t>
      </w:r>
      <w:hyperlink w:anchor="r33">
        <w:r>
          <w:rPr>
            <w:rStyle w:val="Hyperlink"/>
          </w:rPr>
          <w:t xml:space="preserve">2021</w:t>
        </w:r>
      </w:hyperlink>
      <w:r>
        <w:t xml:space="preserve">) combine image enhancement with super-resolution</w:t>
      </w:r>
      <w:r>
        <w:t xml:space="preserve"> </w:t>
      </w:r>
      <w:r>
        <w:t xml:space="preserve">to improve downstream OCR. The present work takes a different angle from these restoration-oriented</w:t>
      </w:r>
      <w:r>
        <w:t xml:space="preserve"> </w:t>
      </w:r>
      <w:r>
        <w:t xml:space="preserve">studies: rather than</w:t>
      </w:r>
      <w:r>
        <w:t xml:space="preserve"> </w:t>
      </w:r>
      <w:r>
        <w:t xml:space="preserve">proposing another restoration architecture, we map</w:t>
      </w:r>
      <w:r>
        <w:t xml:space="preserve"> </w:t>
      </w:r>
      <w:r>
        <w:rPr>
          <w:i/>
          <w:iCs/>
        </w:rPr>
        <w:t xml:space="preserve">where in the angle space</w:t>
      </w:r>
      <w:r>
        <w:t xml:space="preserve"> </w:t>
      </w:r>
      <w:r>
        <w:t xml:space="preserve">restoration</w:t>
      </w:r>
      <w:r>
        <w:t xml:space="preserve"> </w:t>
      </w:r>
      <w:r>
        <w:t xml:space="preserve">remains viable at all, treating recoverability as a measurable property of the sensing geometry.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Evaluation of recognition under degradation has a long history in related domains. PSNR and SSIM</w:t>
      </w:r>
      <w:r>
        <w:t xml:space="preserve"> </w:t>
      </w:r>
      <w:r>
        <w:t xml:space="preserve">(</w:t>
      </w:r>
      <w:hyperlink w:anchor="r18">
        <w:r>
          <w:rPr>
            <w:rStyle w:val="Hyperlink"/>
          </w:rPr>
          <w:t xml:space="preserve">Wang et al., 2004</w:t>
        </w:r>
      </w:hyperlink>
      <w:r>
        <w:t xml:space="preserve">) are the standard image-quality proxies, but</w:t>
      </w:r>
      <w:r>
        <w:t xml:space="preserve"> </w:t>
      </w:r>
      <w:r>
        <w:t xml:space="preserve">their correlation with downstream task performance is contested: for OCR and face recognition,</w:t>
      </w:r>
      <w:r>
        <w:t xml:space="preserve"> </w:t>
      </w:r>
      <w:r>
        <w:t xml:space="preserve">PSNR is a more reliable predictor than SSIM</w:t>
      </w:r>
      <w:r>
        <w:t xml:space="preserve"> </w:t>
      </w:r>
      <w:r>
        <w:t xml:space="preserve">(</w:t>
      </w:r>
      <w:hyperlink w:anchor="r15">
        <w:r>
          <w:rPr>
            <w:rStyle w:val="Hyperlink"/>
          </w:rPr>
          <w:t xml:space="preserve">Chen et al., 2024</w:t>
        </w:r>
      </w:hyperlink>
      <w:r>
        <w:t xml:space="preserve">). This relationship has not been established</w:t>
      </w:r>
      <w:r>
        <w:t xml:space="preserve"> </w:t>
      </w:r>
      <w:r>
        <w:t xml:space="preserve">for LPR under oblique-angle distortion. Prior recoverability analyses in audio and face</w:t>
      </w:r>
      <w:r>
        <w:t xml:space="preserve"> </w:t>
      </w:r>
      <w:r>
        <w:t xml:space="preserve">recognition use threshold curves and operating-characteristic measures over a degradation</w:t>
      </w:r>
      <w:r>
        <w:t xml:space="preserve"> </w:t>
      </w:r>
      <w:r>
        <w:t xml:space="preserve">parameter, but no such framework has been applied to the two-dimensional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</m:oMath>
      <w:r>
        <w:t xml:space="preserve"> </w:t>
      </w:r>
      <w:r>
        <w:t xml:space="preserve">space</w:t>
      </w:r>
      <w:r>
        <w:t xml:space="preserve"> </w:t>
      </w:r>
      <w:r>
        <w:t xml:space="preserve">of camera viewing angles; the present work provides such a characterisation.</w:t>
      </w:r>
    </w:p>
    <w:bookmarkEnd w:id="18"/>
    <w:bookmarkStart w:id="19" w:name="deep-learning-image-restoration"/>
    <w:p>
      <w:pPr>
        <w:pStyle w:val="Heading3"/>
        <w:keepNext/>
        <w:keepLines/>
        <w:widowControl w:val="1"/>
      </w:pPr>
      <w:r>
        <w:t xml:space="preserve">2.3. Deep Learning Image Restoration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The U-Net architecture (</w:t>
      </w:r>
      <w:hyperlink w:anchor="r1">
        <w:r>
          <w:rPr>
            <w:rStyle w:val="Hyperlink"/>
          </w:rPr>
          <w:t xml:space="preserve">Ronneberger et al., 2015</w:t>
        </w:r>
      </w:hyperlink>
      <w:r>
        <w:t xml:space="preserve">), with its skip</w:t>
      </w:r>
      <w:r>
        <w:t xml:space="preserve"> </w:t>
      </w:r>
      <w:r>
        <w:t xml:space="preserve">connections between encoder and decoder, remains a strong baseline for paired image-to-image tasks.</w:t>
      </w:r>
      <w:r>
        <w:t xml:space="preserve"> </w:t>
      </w:r>
      <w:r>
        <w:t xml:space="preserve">The foundational U-Net architecture uses skip connections to preserve spatial detail through</w:t>
      </w:r>
      <w:r>
        <w:t xml:space="preserve"> </w:t>
      </w:r>
      <w:r>
        <w:t xml:space="preserve">successive downsampling and upsampling stages. Oktay et al.</w:t>
      </w:r>
      <w:r>
        <w:t xml:space="preserve"> </w:t>
      </w:r>
      <w:r>
        <w:t xml:space="preserve">(</w:t>
      </w:r>
      <w:hyperlink w:anchor="r21">
        <w:r>
          <w:rPr>
            <w:rStyle w:val="Hyperlink"/>
          </w:rPr>
          <w:t xml:space="preserve">2018</w:t>
        </w:r>
      </w:hyperlink>
      <w:r>
        <w:t xml:space="preserve">) extended it with soft attention gates (Attention U-Net) that</w:t>
      </w:r>
      <w:r>
        <w:t xml:space="preserve"> </w:t>
      </w:r>
      <w:r>
        <w:t xml:space="preserve">selectively emphasise encoder features relevant to the decoder prediction; a natural fit for</w:t>
      </w:r>
      <w:r>
        <w:t xml:space="preserve"> </w:t>
      </w:r>
      <w:r>
        <w:t xml:space="preserve">localised digit regions on a plate. Transformer-based alternatives such as Restormer</w:t>
      </w:r>
      <w:r>
        <w:t xml:space="preserve"> </w:t>
      </w:r>
      <w:r>
        <w:t xml:space="preserve">(</w:t>
      </w:r>
      <w:hyperlink w:anchor="r2">
        <w:r>
          <w:rPr>
            <w:rStyle w:val="Hyperlink"/>
          </w:rPr>
          <w:t xml:space="preserve">Zamir et al., 2022</w:t>
        </w:r>
      </w:hyperlink>
      <w:r>
        <w:t xml:space="preserve">) and Uformer</w:t>
      </w:r>
      <w:r>
        <w:t xml:space="preserve"> </w:t>
      </w:r>
      <w:r>
        <w:t xml:space="preserve">(</w:t>
      </w:r>
      <w:hyperlink w:anchor="r17">
        <w:r>
          <w:rPr>
            <w:rStyle w:val="Hyperlink"/>
          </w:rPr>
          <w:t xml:space="preserve">Wang et al., 2022</w:t>
        </w:r>
      </w:hyperlink>
      <w:r>
        <w:t xml:space="preserve">) extend global context modelling to restoration,</w:t>
      </w:r>
      <w:r>
        <w:t xml:space="preserve"> </w:t>
      </w:r>
      <w:r>
        <w:t xml:space="preserve">achieving state-of-the-art results on denoising and deblurring benchmarks.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On the generative side, Goodfellow et al. (</w:t>
      </w:r>
      <w:hyperlink w:anchor="r19">
        <w:r>
          <w:rPr>
            <w:rStyle w:val="Hyperlink"/>
          </w:rPr>
          <w:t xml:space="preserve">2014</w:t>
        </w:r>
      </w:hyperlink>
      <w:r>
        <w:t xml:space="preserve">) introduced the</w:t>
      </w:r>
      <w:r>
        <w:t xml:space="preserve"> </w:t>
      </w:r>
      <w:r>
        <w:t xml:space="preserve">generative adversarial network (GAN) framework; Pix2Pix</w:t>
      </w:r>
      <w:r>
        <w:t xml:space="preserve"> </w:t>
      </w:r>
      <w:r>
        <w:t xml:space="preserve">(</w:t>
      </w:r>
      <w:hyperlink w:anchor="r3">
        <w:r>
          <w:rPr>
            <w:rStyle w:val="Hyperlink"/>
          </w:rPr>
          <w:t xml:space="preserve">Isola et al., 2017</w:t>
        </w:r>
      </w:hyperlink>
      <w:r>
        <w:t xml:space="preserve">) adapted this to paired image translation via</w:t>
      </w:r>
      <w:r>
        <w:t xml:space="preserve"> </w:t>
      </w:r>
      <w:r>
        <w:t xml:space="preserve">a patch discriminator. ESRGAN (</w:t>
      </w:r>
      <w:hyperlink w:anchor="r22">
        <w:r>
          <w:rPr>
            <w:rStyle w:val="Hyperlink"/>
          </w:rPr>
          <w:t xml:space="preserve">Wang et al., 2018</w:t>
        </w:r>
      </w:hyperlink>
      <w:r>
        <w:t xml:space="preserve">) demonstrated that</w:t>
      </w:r>
      <w:r>
        <w:t xml:space="preserve"> </w:t>
      </w:r>
      <w:r>
        <w:t xml:space="preserve">perceptual and adversarial losses recover fine texture detail in super-resolution, at the cost of</w:t>
      </w:r>
      <w:r>
        <w:t xml:space="preserve"> </w:t>
      </w:r>
      <w:r>
        <w:t xml:space="preserve">potential hallucination artefacts analogous to those we observe in Diffusion-SR3. Saharia et al.</w:t>
      </w:r>
      <w:r>
        <w:t xml:space="preserve"> </w:t>
      </w:r>
      <w:r>
        <w:t xml:space="preserve">(</w:t>
      </w:r>
      <w:hyperlink w:anchor="r20">
        <w:r>
          <w:rPr>
            <w:rStyle w:val="Hyperlink"/>
          </w:rPr>
          <w:t xml:space="preserve">2022</w:t>
        </w:r>
      </w:hyperlink>
      <w:r>
        <w:t xml:space="preserve">) proposed SR3, conditioning a denoising diffusion probabilistic</w:t>
      </w:r>
      <w:r>
        <w:t xml:space="preserve"> </w:t>
      </w:r>
      <w:r>
        <w:t xml:space="preserve">model on a low-quality input for iterative refinement; we adapt this architecture directly for</w:t>
      </w:r>
      <w:r>
        <w:t xml:space="preserve"> </w:t>
      </w:r>
      <w:r>
        <w:t xml:space="preserve">oblique-plate restoration. None of these works has been benchmarked on the systematic</w:t>
      </w:r>
      <w:r>
        <w:t xml:space="preserve"> </w:t>
      </w:r>
      <w:r>
        <w:t xml:space="preserve">oblique-angle regime relevant to urban camera repurposing.</w:t>
      </w:r>
    </w:p>
    <w:bookmarkEnd w:id="19"/>
    <w:bookmarkStart w:id="20" w:name="Xf427d9c5cfe4c4eaa3c3ae665ad66e7667dd4b8"/>
    <w:p>
      <w:pPr>
        <w:pStyle w:val="Heading3"/>
        <w:keepNext/>
        <w:keepLines/>
        <w:widowControl w:val="1"/>
      </w:pPr>
      <w:r>
        <w:t xml:space="preserve">2.4. Low-Discrepancy Sampling for Benchmark Design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Monte Carlo methods for sampling multi-dimensional parameter spaces suffer from clustering and</w:t>
      </w:r>
      <w:r>
        <w:t xml:space="preserve"> </w:t>
      </w:r>
      <w:r>
        <w:t xml:space="preserve">gaps at moderate sample sizes. Sobol sequences, a class of quasi-Monte Carlo methods</w:t>
      </w:r>
      <w:r>
        <w:t xml:space="preserve"> </w:t>
      </w:r>
      <w:r>
        <w:t xml:space="preserve">(</w:t>
      </w:r>
      <w:hyperlink w:anchor="r6">
        <w:r>
          <w:rPr>
            <w:rStyle w:val="Hyperlink"/>
          </w:rPr>
          <w:t xml:space="preserve">Burhenne et al., 2011</w:t>
        </w:r>
      </w:hyperlink>
      <w:r>
        <w:t xml:space="preserve">;</w:t>
      </w:r>
      <w:r>
        <w:t xml:space="preserve"> </w:t>
      </w:r>
      <w:hyperlink w:anchor="r16">
        <w:r>
          <w:rPr>
            <w:rStyle w:val="Hyperlink"/>
          </w:rPr>
          <w:t xml:space="preserve">Joe &amp; Kuo, 2008</w:t>
        </w:r>
      </w:hyperlink>
      <w:r>
        <w:t xml:space="preserve">),</w:t>
      </w:r>
      <w:r>
        <w:t xml:space="preserve"> </w:t>
      </w:r>
      <w:r>
        <w:t xml:space="preserve">provide provably better coverage of the unit hypercube than pseudo-random sampling: the</w:t>
      </w:r>
      <w:r>
        <w:t xml:space="preserve"> </w:t>
      </w:r>
      <w:r>
        <w:t xml:space="preserve">discrepancy of an</w:t>
      </w:r>
      <w:r>
        <w:t xml:space="preserve"> </w:t>
      </w:r>
      <m:oMath>
        <m:r>
          <m:t>N</m:t>
        </m:r>
      </m:oMath>
      <w:r>
        <w:t xml:space="preserve">-point Sobol set grows as</w:t>
      </w:r>
      <w:r>
        <w:t xml:space="preserve"> </w:t>
      </w:r>
      <m:oMath>
        <m:r>
          <m:t>O</m:t>
        </m:r>
        <m:r>
          <m:rPr>
            <m:sty m:val="p"/>
          </m:rPr>
          <m:t>(</m:t>
        </m:r>
        <m:r>
          <m:rPr>
            <m:sty m:val="p"/>
          </m:rPr>
          <m:t>(</m:t>
        </m:r>
        <m:r>
          <m:rPr>
            <m:sty m:val="p"/>
          </m:rPr>
          <m:t>log</m:t>
        </m:r>
        <m:r>
          <m:t>N</m:t>
        </m:r>
        <m:sSup>
          <m:e>
            <m:r>
              <m:rPr>
                <m:sty m:val="p"/>
              </m:rPr>
              <m:t>)</m:t>
            </m:r>
          </m:e>
          <m:sup>
            <m:r>
              <m:t>d</m:t>
            </m:r>
          </m:sup>
        </m:sSup>
        <m:r>
          <m:rPr>
            <m:sty m:val="p"/>
          </m:rPr>
          <m:t>/</m:t>
        </m:r>
        <m:r>
          <m:t>N</m:t>
        </m:r>
        <m:r>
          <m:rPr>
            <m:sty m:val="p"/>
          </m:rPr>
          <m:t>)</m:t>
        </m:r>
      </m:oMath>
      <w:r>
        <w:t xml:space="preserve"> </w:t>
      </w:r>
      <w:r>
        <w:t xml:space="preserve">compared to</w:t>
      </w:r>
      <w:r>
        <w:t xml:space="preserve"> </w:t>
      </w:r>
      <m:oMath>
        <m:r>
          <m:t>O</m:t>
        </m:r>
        <m:r>
          <m:rPr>
            <m:sty m:val="p"/>
          </m:rPr>
          <m:t>(</m:t>
        </m:r>
        <m:sSup>
          <m:e>
            <m:r>
              <m:t>N</m:t>
            </m:r>
          </m:e>
          <m:sup>
            <m:r>
              <m:rPr>
                <m:sty m:val="p"/>
              </m:rPr>
              <m:t>−</m:t>
            </m:r>
            <m:r>
              <m:t>1</m:t>
            </m:r>
            <m:r>
              <m:rPr>
                <m:sty m:val="p"/>
              </m:rPr>
              <m:t>/</m:t>
            </m:r>
            <m:r>
              <m:t>2</m:t>
            </m:r>
          </m:sup>
        </m:sSup>
        <m:r>
          <m:rPr>
            <m:sty m:val="p"/>
          </m:rPr>
          <m:t>)</m:t>
        </m:r>
      </m:oMath>
      <w:r>
        <w:t xml:space="preserve"> </w:t>
      </w:r>
      <w:r>
        <w:t xml:space="preserve">for random sampling in dimension</w:t>
      </w:r>
      <w:r>
        <w:t xml:space="preserve"> </w:t>
      </w:r>
      <m:oMath>
        <m:r>
          <m:t>d</m:t>
        </m:r>
      </m:oMath>
      <w:r>
        <w:t xml:space="preserve">. Applying Sobol sequences to the angle space ensures that the</w:t>
      </w:r>
      <w:r>
        <w:t xml:space="preserve"> </w:t>
      </w:r>
      <w:r>
        <w:t xml:space="preserve">training dataset covers extreme and moderate angles uniformly, which is essential for learning a</w:t>
      </w:r>
      <w:r>
        <w:t xml:space="preserve"> </w:t>
      </w:r>
      <w:r>
        <w:t xml:space="preserve">restoration model that generalizes across the full deployment range of a fixed urban sensor.</w:t>
      </w:r>
    </w:p>
    <w:bookmarkEnd w:id="20"/>
    <w:bookmarkEnd w:id="21"/>
    <w:bookmarkStart w:id="22" w:name="problem-formulation"/>
    <w:p>
      <w:pPr>
        <w:pStyle w:val="Heading2"/>
        <w:keepNext/>
        <w:keepLines/>
        <w:widowControl w:val="1"/>
      </w:pPr>
      <w:r>
        <w:t xml:space="preserve">3. Problem Formulation</w:t>
      </w:r>
    </w:p>
    <w:p>
      <w:pPr>
        <w:pStyle w:val="FirstParagraph"/>
        <w:jc w:val="both"/>
        <w:keepNext w:val="0"/>
        <w:keepLines w:val="0"/>
        <w:widowControl w:val="1"/>
      </w:pPr>
      <w:r>
        <w:rPr>
          <w:b/>
          <w:bCs/>
        </w:rPr>
        <w:t xml:space="preserve">Notation.</w:t>
      </w:r>
      <w:r>
        <w:t xml:space="preserve"> </w:t>
      </w:r>
      <w:r>
        <w:t xml:space="preserve">The following symbols are used consistently throughout the paper:</w:t>
      </w:r>
    </w:p>
    <w:p>
      <w:pPr>
        <w:pStyle w:val="Compact"/>
        <w:numPr>
          <w:ilvl w:val="0"/>
          <w:numId w:val="1001"/>
        </w:numPr>
        <w:jc w:val="both"/>
        <w:keepNext w:val="0"/>
        <w:keepLines w:val="0"/>
        <w:widowControl w:val="1"/>
      </w:pPr>
      <m:oMath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rPr>
            <m:sty m:val="p"/>
          </m:rPr>
          <m:t>−</m:t>
        </m:r>
        <m:sSup>
          <m:e>
            <m:r>
              <m:t>90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90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]</m:t>
        </m:r>
      </m:oMath>
      <w:r>
        <w:t xml:space="preserve">: primary variables, the azimuthal (lateral) and</w:t>
      </w:r>
      <w:r>
        <w:t xml:space="preserve"> </w:t>
      </w:r>
      <w:r>
        <w:t xml:space="preserve">elevational (vertical) viewing angles of the plate relative to the camera optical axis.</w:t>
      </w:r>
    </w:p>
    <w:p>
      <w:pPr>
        <w:pStyle w:val="Compact"/>
        <w:numPr>
          <w:ilvl w:val="0"/>
          <w:numId w:val="1001"/>
        </w:numPr>
        <w:jc w:val="both"/>
        <w:keepNext w:val="0"/>
        <w:keepLines w:val="0"/>
        <w:widowControl w:val="1"/>
      </w:pPr>
      <m:oMath>
        <m:sSub>
          <m:e>
            <m:r>
              <m:t>x</m:t>
            </m:r>
          </m:e>
          <m:sub>
            <m:r>
              <m:t>0</m:t>
            </m:r>
          </m:sub>
        </m:sSub>
      </m:oMath>
      <w:r>
        <w:t xml:space="preserve">,</w:t>
      </w:r>
      <w:r>
        <w:t xml:space="preserve"> </w:t>
      </w:r>
      <m:oMath>
        <m:sSub>
          <m:e>
            <m:r>
              <m:t>x</m:t>
            </m:r>
          </m:e>
          <m:sub>
            <m:r>
              <m:t>d</m:t>
            </m:r>
          </m:sub>
        </m:sSub>
      </m:oMath>
      <w:r>
        <w:t xml:space="preserve">,</w:t>
      </w:r>
      <w:r>
        <w:t xml:space="preserve"> </w:t>
      </w:r>
      <m:oMath>
        <m:sSub>
          <m:e>
            <m:acc>
              <m:accPr>
                <m:chr m:val="̂"/>
              </m:accPr>
              <m:e>
                <m:r>
                  <m:t>x</m:t>
                </m:r>
              </m:e>
            </m:acc>
          </m:e>
          <m:sub>
            <m:r>
              <m:t>0</m:t>
            </m:r>
          </m:sub>
        </m:sSub>
      </m:oMath>
      <w:r>
        <w:t xml:space="preserve">: clean plate image, observed distorted image, and restored plate</w:t>
      </w:r>
      <w:r>
        <w:t xml:space="preserve"> </w:t>
      </w:r>
      <w:r>
        <w:t xml:space="preserve">image produced by the network.</w:t>
      </w:r>
    </w:p>
    <w:p>
      <w:pPr>
        <w:pStyle w:val="Compact"/>
        <w:numPr>
          <w:ilvl w:val="0"/>
          <w:numId w:val="1001"/>
        </w:numPr>
        <w:jc w:val="both"/>
        <w:keepNext w:val="0"/>
        <w:keepLines w:val="0"/>
        <w:widowControl w:val="1"/>
      </w:pPr>
      <m:oMath>
        <m:r>
          <m:rPr>
            <m:sty m:val="bi"/>
          </m:rPr>
          <m:t>R</m:t>
        </m:r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</m:oMath>
      <w:r>
        <w:t xml:space="preserve">: homogeneous-coordinate rotation matrix;</w:t>
      </w:r>
      <w:r>
        <w:t xml:space="preserve"> </w:t>
      </w:r>
      <m:oMath>
        <m:r>
          <m:rPr>
            <m:sty m:val="p"/>
          </m:rPr>
          <m:t>Π</m:t>
        </m:r>
      </m:oMath>
      <w:r>
        <w:t xml:space="preserve">: perspective</w:t>
      </w:r>
      <w:r>
        <w:t xml:space="preserve"> </w:t>
      </w:r>
      <w:r>
        <w:t xml:space="preserve">projection onto the image plane.</w:t>
      </w:r>
    </w:p>
    <w:p>
      <w:pPr>
        <w:pStyle w:val="Compact"/>
        <w:numPr>
          <w:ilvl w:val="0"/>
          <w:numId w:val="1001"/>
        </w:numPr>
        <w:jc w:val="both"/>
        <w:keepNext w:val="0"/>
        <w:keepLines w:val="0"/>
        <w:widowControl w:val="1"/>
      </w:pPr>
      <m:oMath>
        <m:sSub>
          <m:e>
            <m:r>
              <m:t>D</m:t>
            </m:r>
          </m:e>
          <m:sub>
            <m:r>
              <m:rPr>
                <m:nor/>
                <m:sty m:val="p"/>
              </m:rPr>
              <m:t>edge</m:t>
            </m:r>
          </m:sub>
        </m:sSub>
        <m:r>
          <m:rPr>
            <m:sty m:val="p"/>
          </m:rPr>
          <m:t>,</m:t>
        </m:r>
        <m:sSub>
          <m:e>
            <m:r>
              <m:t>D</m:t>
            </m:r>
          </m:e>
          <m:sub>
            <m:r>
              <m:rPr>
                <m:nor/>
                <m:sty m:val="p"/>
              </m:rPr>
              <m:t>jitter</m:t>
            </m:r>
          </m:sub>
        </m:sSub>
        <m:r>
          <m:rPr>
            <m:sty m:val="p"/>
          </m:rPr>
          <m:t>,</m:t>
        </m:r>
        <m:sSub>
          <m:e>
            <m:r>
              <m:t>D</m:t>
            </m:r>
          </m:e>
          <m:sub>
            <m:r>
              <m:rPr>
                <m:nor/>
                <m:sty m:val="p"/>
              </m:rPr>
              <m:t>blur</m:t>
            </m:r>
          </m:sub>
        </m:sSub>
        <m:r>
          <m:rPr>
            <m:sty m:val="p"/>
          </m:rPr>
          <m:t>,</m:t>
        </m:r>
        <m:sSub>
          <m:e>
            <m:r>
              <m:t>D</m:t>
            </m:r>
          </m:e>
          <m:sub>
            <m:r>
              <m:rPr>
                <m:nor/>
                <m:sty m:val="p"/>
              </m:rPr>
              <m:t>JPEG</m:t>
            </m:r>
          </m:sub>
        </m:sSub>
      </m:oMath>
      <w:r>
        <w:t xml:space="preserve">: the four degradation</w:t>
      </w:r>
      <w:r>
        <w:t xml:space="preserve"> </w:t>
      </w:r>
      <w:r>
        <w:t xml:space="preserve">operators (edge blending, colour jitter, Gaussian blur, JPEG compression) defined in Eq. 1.</w:t>
      </w:r>
    </w:p>
    <w:p>
      <w:pPr>
        <w:pStyle w:val="Compact"/>
        <w:numPr>
          <w:ilvl w:val="0"/>
          <w:numId w:val="1001"/>
        </w:numPr>
        <w:jc w:val="both"/>
        <w:keepNext w:val="0"/>
        <w:keepLines w:val="0"/>
        <w:widowControl w:val="1"/>
      </w:pPr>
      <m:oMath>
        <m:sSub>
          <m:e>
            <m:r>
              <m:t>r</m:t>
            </m:r>
          </m:e>
          <m:sub>
            <m:r>
              <m:t>T</m:t>
            </m:r>
          </m:sub>
        </m:sSub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  <m:r>
          <m:rPr>
            <m:sty m:val="p"/>
          </m:rPr>
          <m:t>∈</m:t>
        </m:r>
        <m:r>
          <m:rPr>
            <m:sty m:val="p"/>
          </m:rPr>
          <m:t>{</m:t>
        </m:r>
        <m:r>
          <m:t>0</m:t>
        </m:r>
        <m:r>
          <m:rPr>
            <m:sty m:val="p"/>
          </m:rPr>
          <m:t>,</m:t>
        </m:r>
        <m:r>
          <m:t>1</m:t>
        </m:r>
        <m:r>
          <m:rPr>
            <m:sty m:val="p"/>
          </m:rPr>
          <m:t>}</m:t>
        </m:r>
      </m:oMath>
      <w:r>
        <w:t xml:space="preserve">: binary recoverability indicator at OCR threshold</w:t>
      </w:r>
      <w:r>
        <w:t xml:space="preserve"> </w:t>
      </w:r>
      <m:oMath>
        <m:r>
          <m:t>T</m:t>
        </m:r>
      </m:oMath>
      <w:r>
        <w:t xml:space="preserve">.</w:t>
      </w:r>
    </w:p>
    <w:p>
      <w:pPr>
        <w:pStyle w:val="Compact"/>
        <w:numPr>
          <w:ilvl w:val="0"/>
          <w:numId w:val="1001"/>
        </w:numPr>
        <w:jc w:val="both"/>
        <w:keepNext w:val="0"/>
        <w:keepLines w:val="0"/>
        <w:widowControl w:val="1"/>
      </w:pPr>
      <m:oMath>
        <m:sSub>
          <m:e>
            <m:r>
              <m:t>B</m:t>
            </m:r>
          </m:e>
          <m:sub>
            <m:r>
              <m:t>T</m:t>
            </m:r>
          </m:sub>
        </m:sSub>
      </m:oMath>
      <w:r>
        <w:t xml:space="preserve">: recoverability boundary curve;</w:t>
      </w:r>
      <w:r>
        <w:t xml:space="preserve"> </w:t>
      </w:r>
      <m:oMath>
        <m:r>
          <m:rPr>
            <m:nor/>
            <m:sty m:val="p"/>
          </m:rPr>
          <m:t>AUC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F</m:t>
        </m:r>
      </m:oMath>
      <w:r>
        <w:t xml:space="preserve">: coverage and reliability metrics</w:t>
      </w:r>
      <w:r>
        <w:t xml:space="preserve"> </w:t>
      </w:r>
      <w:r>
        <w:t xml:space="preserve">defined in Eqs. 5 and 7.</w:t>
      </w:r>
    </w:p>
    <w:p>
      <w:pPr>
        <w:pStyle w:val="Compact"/>
        <w:numPr>
          <w:ilvl w:val="0"/>
          <w:numId w:val="1001"/>
        </w:numPr>
        <w:jc w:val="both"/>
        <w:keepNext w:val="0"/>
        <w:keepLines w:val="0"/>
        <w:widowControl w:val="1"/>
      </w:pPr>
      <m:oMath>
        <m:sSub>
          <m:e>
            <m:r>
              <m:t>f</m:t>
            </m:r>
          </m:e>
          <m:sub>
            <m:r>
              <m:t>θ</m:t>
            </m:r>
          </m:sub>
        </m:sSub>
      </m:oMath>
      <w:r>
        <w:t xml:space="preserve">: restoration network with parameters</w:t>
      </w:r>
      <w:r>
        <w:t xml:space="preserve"> </w:t>
      </w:r>
      <m:oMath>
        <m:r>
          <m:t>θ</m:t>
        </m:r>
      </m:oMath>
      <w:r>
        <w:t xml:space="preserve">.</w:t>
      </w:r>
    </w:p>
    <w:p>
      <w:pPr>
        <w:pStyle w:val="Compact"/>
        <w:numPr>
          <w:ilvl w:val="0"/>
          <w:numId w:val="1001"/>
        </w:numPr>
        <w:jc w:val="both"/>
        <w:keepNext w:val="0"/>
        <w:keepLines w:val="0"/>
        <w:widowControl w:val="1"/>
      </w:pPr>
      <m:oMath>
        <m:sSub>
          <m:e>
            <m:acc>
              <m:accPr>
                <m:chr m:val="‾"/>
              </m:accPr>
              <m:e>
                <m:r>
                  <m:t>α</m:t>
                </m:r>
              </m:e>
            </m:acc>
          </m:e>
          <m:sub>
            <m:r>
              <m:t>t</m:t>
            </m:r>
          </m:sub>
        </m:sSub>
      </m:oMath>
      <w:r>
        <w:t xml:space="preserve"> </w:t>
      </w:r>
      <w:r>
        <w:t xml:space="preserve">and</w:t>
      </w:r>
      <w:r>
        <w:t xml:space="preserve"> </w:t>
      </w:r>
      <m:oMath>
        <m:sSub>
          <m:e>
            <m:r>
              <m:t>β</m:t>
            </m:r>
          </m:e>
          <m:sub>
            <m:r>
              <m:t>i</m:t>
            </m:r>
          </m:sub>
        </m:sSub>
      </m:oMath>
      <w:r>
        <w:t xml:space="preserve"> </w:t>
      </w:r>
      <w:r>
        <w:t xml:space="preserve">(appearing only in Eq. 8): diffusion-model schedule</w:t>
      </w:r>
      <w:r>
        <w:t xml:space="preserve"> </w:t>
      </w:r>
      <w:r>
        <w:t xml:space="preserve">coefficients; these are distinct from the viewing angles</w:t>
      </w:r>
      <w:r>
        <w:t xml:space="preserve"> </w:t>
      </w:r>
      <m:oMath>
        <m:r>
          <m:t>α</m:t>
        </m:r>
        <m:r>
          <m:rPr>
            <m:sty m:val="p"/>
          </m:rPr>
          <m:t>,</m:t>
        </m:r>
        <m:r>
          <m:t>β</m:t>
        </m:r>
      </m:oMath>
      <w:r>
        <w:t xml:space="preserve"> </w:t>
      </w:r>
      <w:r>
        <w:t xml:space="preserve">and are used only in the</w:t>
      </w:r>
      <w:r>
        <w:t xml:space="preserve"> </w:t>
      </w:r>
      <w:r>
        <w:t xml:space="preserve">SR3 formulation.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Consider a fixed camera at position</w:t>
      </w:r>
      <w:r>
        <w:t xml:space="preserve"> </w:t>
      </w:r>
      <m:oMath>
        <m:r>
          <m:rPr>
            <m:sty m:val="bi"/>
          </m:rPr>
          <m:t>p</m:t>
        </m:r>
      </m:oMath>
      <w:r>
        <w:t xml:space="preserve"> </w:t>
      </w:r>
      <w:r>
        <w:t xml:space="preserve">in an urban environment. A vehicle passes within</w:t>
      </w:r>
      <w:r>
        <w:t xml:space="preserve"> </w:t>
      </w:r>
      <w:r>
        <w:t xml:space="preserve">the camera field of view, and its license plate undergoes a rotation described by two angles:</w:t>
      </w:r>
      <w:r>
        <w:t xml:space="preserve"> </w:t>
      </w:r>
      <m:oMath>
        <m:r>
          <m:t>α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rPr>
            <m:sty m:val="p"/>
          </m:rPr>
          <m:t>−</m:t>
        </m:r>
        <m:sSup>
          <m:e>
            <m:r>
              <m:t>90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90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]</m:t>
        </m:r>
      </m:oMath>
      <w:r>
        <w:t xml:space="preserve"> </w:t>
      </w:r>
      <w:r>
        <w:t xml:space="preserve">(azimuthal, lateral tilt relative to the camera optical axis)</w:t>
      </w:r>
      <w:r>
        <w:t xml:space="preserve"> </w:t>
      </w:r>
      <w:r>
        <w:t xml:space="preserve">and</w:t>
      </w:r>
      <w:r>
        <w:t xml:space="preserve"> </w:t>
      </w:r>
      <m:oMath>
        <m:r>
          <m:t>β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rPr>
            <m:sty m:val="p"/>
          </m:rPr>
          <m:t>−</m:t>
        </m:r>
        <m:sSup>
          <m:e>
            <m:r>
              <m:t>90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90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]</m:t>
        </m:r>
      </m:oMath>
      <w:r>
        <w:t xml:space="preserve"> </w:t>
      </w:r>
      <w:r>
        <w:t xml:space="preserve">(elevational, vertical tilt). The 3D rotation of the plate</w:t>
      </w:r>
      <w:r>
        <w:t xml:space="preserve"> </w:t>
      </w:r>
      <w:r>
        <w:t xml:space="preserve">normal vector is modelled as successive rotations</w:t>
      </w:r>
      <w:r>
        <w:t xml:space="preserve"> </w:t>
      </w:r>
      <m:oMath>
        <m:r>
          <m:rPr>
            <m:sty m:val="bi"/>
          </m:rPr>
          <m:t>R</m:t>
        </m:r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</m:oMath>
      <w:r>
        <w:t xml:space="preserve"> </w:t>
      </w:r>
      <w:r>
        <w:t xml:space="preserve">applied in homogeneous</w:t>
      </w:r>
      <w:r>
        <w:t xml:space="preserve"> </w:t>
      </w:r>
      <w:r>
        <w:t xml:space="preserve">coordinates, followed by a perspective projection</w:t>
      </w:r>
      <w:r>
        <w:t xml:space="preserve"> </w:t>
      </w:r>
      <m:oMath>
        <m:r>
          <m:rPr>
            <m:sty m:val="p"/>
          </m:rPr>
          <m:t>Π</m:t>
        </m:r>
      </m:oMath>
      <w:r>
        <w:t xml:space="preserve"> </w:t>
      </w:r>
      <w:r>
        <w:t xml:space="preserve">onto the image plane: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r>
              <m:t>x</m:t>
            </m:r>
          </m:e>
          <m:sub>
            <m:r>
              <m:t>d</m:t>
            </m:r>
          </m:sub>
        </m:sSub>
        <m:r>
          <m:rPr>
            <m:sty m:val="p"/>
          </m:rPr>
          <m:t>=</m:t>
        </m:r>
        <m:sSub>
          <m:e>
            <m:r>
              <m:t>D</m:t>
            </m:r>
          </m:e>
          <m:sub>
            <m:r>
              <m:rPr>
                <m:nor/>
                <m:sty m:val="p"/>
              </m:rPr>
              <m:t>JPEG</m:t>
            </m:r>
          </m:sub>
        </m:sSub>
        <m:r>
          <m:rPr>
            <m:sty m:val="p"/>
          </m:rPr>
          <m:t>∘</m:t>
        </m:r>
        <m:sSub>
          <m:e>
            <m:r>
              <m:t>D</m:t>
            </m:r>
          </m:e>
          <m:sub>
            <m:r>
              <m:rPr>
                <m:nor/>
                <m:sty m:val="p"/>
              </m:rPr>
              <m:t>blur</m:t>
            </m:r>
          </m:sub>
        </m:sSub>
        <m:r>
          <m:rPr>
            <m:sty m:val="p"/>
          </m:rPr>
          <m:t>∘</m:t>
        </m:r>
        <m:sSub>
          <m:e>
            <m:r>
              <m:t>D</m:t>
            </m:r>
          </m:e>
          <m:sub>
            <m:r>
              <m:rPr>
                <m:nor/>
                <m:sty m:val="p"/>
              </m:rPr>
              <m:t>jitter</m:t>
            </m:r>
          </m:sub>
        </m:sSub>
        <m:r>
          <m:rPr>
            <m:sty m:val="p"/>
          </m:rPr>
          <m:t>∘</m:t>
        </m:r>
        <m:sSub>
          <m:e>
            <m:r>
              <m:t>D</m:t>
            </m:r>
          </m:e>
          <m:sub>
            <m:r>
              <m:rPr>
                <m:nor/>
                <m:sty m:val="p"/>
              </m:rPr>
              <m:t>edge</m:t>
            </m:r>
          </m:sub>
        </m:sSub>
        <m:r>
          <m:rPr>
            <m:sty m:val="p"/>
          </m:rPr>
          <m:t>∘</m:t>
        </m:r>
        <m:r>
          <m:rPr>
            <m:sty m:val="p"/>
          </m:rPr>
          <m:t>Π</m:t>
        </m:r>
        <m:r>
          <m:t>​</m:t>
        </m:r>
        <m:d>
          <m:dPr>
            <m:begChr m:val="("/>
            <m:sepChr m:val=""/>
            <m:endChr m:val=")"/>
            <m:grow/>
          </m:dPr>
          <m:e>
            <m:r>
              <m:rPr>
                <m:sty m:val="bi"/>
              </m:rPr>
              <m:t>R</m:t>
            </m:r>
            <m:r>
              <m:rPr>
                <m:sty m:val="p"/>
              </m:rPr>
              <m:t>(</m:t>
            </m:r>
            <m:r>
              <m:t>α</m:t>
            </m:r>
            <m:r>
              <m:rPr>
                <m:sty m:val="p"/>
              </m:rPr>
              <m:t>,</m:t>
            </m:r>
            <m:r>
              <m:t>β</m:t>
            </m:r>
            <m:r>
              <m:rPr>
                <m:sty m:val="p"/>
              </m:rPr>
              <m:t>)</m:t>
            </m:r>
            <m:r>
              <m:t> </m:t>
            </m:r>
            <m:sSub>
              <m:e>
                <m:r>
                  <m:t>x</m:t>
                </m:r>
              </m:e>
              <m:sub>
                <m:r>
                  <m:t>0</m:t>
                </m:r>
              </m:sub>
            </m:sSub>
          </m:e>
        </m:d>
      </m:oMath>
      <w:r>
        <w:tab/>
        <w:t xml:space="preserve">(1)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where</w:t>
      </w:r>
      <w:r>
        <w:t xml:space="preserve"> </w:t>
      </w:r>
      <m:oMath>
        <m:sSub>
          <m:e>
            <m:r>
              <m:t>x</m:t>
            </m:r>
          </m:e>
          <m:sub>
            <m:r>
              <m:t>0</m:t>
            </m:r>
          </m:sub>
        </m:sSub>
      </m:oMath>
      <w:r>
        <w:t xml:space="preserve"> </w:t>
      </w:r>
      <w:r>
        <w:t xml:space="preserve">is the clean plate image,</w:t>
      </w:r>
      <w:r>
        <w:t xml:space="preserve"> </w:t>
      </w:r>
      <m:oMath>
        <m:r>
          <m:rPr>
            <m:sty m:val="bi"/>
          </m:rPr>
          <m:t>R</m:t>
        </m:r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  <m:r>
          <m:t> </m:t>
        </m:r>
        <m:sSub>
          <m:e>
            <m:r>
              <m:t>x</m:t>
            </m:r>
          </m:e>
          <m:sub>
            <m:r>
              <m:t>0</m:t>
            </m:r>
          </m:sub>
        </m:sSub>
      </m:oMath>
      <w:r>
        <w:t xml:space="preserve"> </w:t>
      </w:r>
      <w:r>
        <w:t xml:space="preserve">applies the planar rotation</w:t>
      </w:r>
      <w:r>
        <w:t xml:space="preserve"> </w:t>
      </w:r>
      <w:r>
        <w:t xml:space="preserve">in homogeneous coordinates,</w:t>
      </w:r>
      <w:r>
        <w:t xml:space="preserve"> </w:t>
      </w:r>
      <m:oMath>
        <m:r>
          <m:rPr>
            <m:sty m:val="p"/>
          </m:rPr>
          <m:t>Π</m:t>
        </m:r>
      </m:oMath>
      <w:r>
        <w:t xml:space="preserve"> </w:t>
      </w:r>
      <w:r>
        <w:t xml:space="preserve">is the perspective projection, and the four degradation stages</w:t>
      </w:r>
      <w:r>
        <w:t xml:space="preserve"> </w:t>
      </w:r>
      <w:r>
        <w:t xml:space="preserve">are applied in order:</w:t>
      </w:r>
      <w:r>
        <w:t xml:space="preserve"> </w:t>
      </w:r>
      <m:oMath>
        <m:sSub>
          <m:e>
            <m:r>
              <m:t>D</m:t>
            </m:r>
          </m:e>
          <m:sub>
            <m:r>
              <m:rPr>
                <m:nor/>
                <m:sty m:val="p"/>
              </m:rPr>
              <m:t>edge</m:t>
            </m:r>
          </m:sub>
        </m:sSub>
      </m:oMath>
      <w:r>
        <w:t xml:space="preserve"> </w:t>
      </w:r>
      <w:r>
        <w:t xml:space="preserve">performs alpha-mask edge blending with a signed-distance</w:t>
      </w:r>
      <w:r>
        <w:t xml:space="preserve"> </w:t>
      </w:r>
      <w:r>
        <w:t xml:space="preserve">field,</w:t>
      </w:r>
      <w:r>
        <w:t xml:space="preserve"> </w:t>
      </w:r>
      <m:oMath>
        <m:sSub>
          <m:e>
            <m:r>
              <m:t>D</m:t>
            </m:r>
          </m:e>
          <m:sub>
            <m:r>
              <m:rPr>
                <m:nor/>
                <m:sty m:val="p"/>
              </m:rPr>
              <m:t>jitter</m:t>
            </m:r>
          </m:sub>
        </m:sSub>
      </m:oMath>
      <w:r>
        <w:t xml:space="preserve"> </w:t>
      </w:r>
      <w:r>
        <w:t xml:space="preserve">applies brightness/contrast/saturation jitter,</w:t>
      </w:r>
      <w:r>
        <w:t xml:space="preserve"> </w:t>
      </w:r>
      <m:oMath>
        <m:sSub>
          <m:e>
            <m:r>
              <m:t>D</m:t>
            </m:r>
          </m:e>
          <m:sub>
            <m:r>
              <m:rPr>
                <m:nor/>
                <m:sty m:val="p"/>
              </m:rPr>
              <m:t>blur</m:t>
            </m:r>
          </m:sub>
        </m:sSub>
      </m:oMath>
      <w:r>
        <w:t xml:space="preserve"> </w:t>
      </w:r>
      <w:r>
        <w:t xml:space="preserve">applies</w:t>
      </w:r>
      <w:r>
        <w:t xml:space="preserve"> </w:t>
      </w:r>
      <w:r>
        <w:t xml:space="preserve">isotropic Gaussian blur with</w:t>
      </w:r>
      <w:r>
        <w:t xml:space="preserve"> </w:t>
      </w:r>
      <m:oMath>
        <m:r>
          <m:t>σ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t>0.5</m:t>
        </m:r>
        <m:r>
          <m:rPr>
            <m:sty m:val="p"/>
          </m:rPr>
          <m:t>,</m:t>
        </m:r>
        <m:r>
          <m:t>1.5</m:t>
        </m:r>
        <m:r>
          <m:rPr>
            <m:sty m:val="p"/>
          </m:rPr>
          <m:t>]</m:t>
        </m:r>
      </m:oMath>
      <w:r>
        <w:t xml:space="preserve">, and</w:t>
      </w:r>
      <w:r>
        <w:t xml:space="preserve"> </w:t>
      </w:r>
      <m:oMath>
        <m:sSub>
          <m:e>
            <m:r>
              <m:t>D</m:t>
            </m:r>
          </m:e>
          <m:sub>
            <m:r>
              <m:rPr>
                <m:nor/>
                <m:sty m:val="p"/>
              </m:rPr>
              <m:t>JPEG</m:t>
            </m:r>
          </m:sub>
        </m:sSub>
      </m:oMath>
      <w:r>
        <w:t xml:space="preserve"> </w:t>
      </w:r>
      <w:r>
        <w:t xml:space="preserve">compresses the image</w:t>
      </w:r>
      <w:r>
        <w:t xml:space="preserve"> </w:t>
      </w:r>
      <w:r>
        <w:t xml:space="preserve">at quality</w:t>
      </w:r>
      <w:r>
        <w:t xml:space="preserve"> </w:t>
      </w:r>
      <m:oMath>
        <m:r>
          <m:t>q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t>55</m:t>
        </m:r>
        <m:r>
          <m:rPr>
            <m:sty m:val="p"/>
          </m:rPr>
          <m:t>,</m:t>
        </m:r>
        <m:r>
          <m:t>85</m:t>
        </m:r>
        <m:r>
          <m:rPr>
            <m:sty m:val="p"/>
          </m:rPr>
          <m:t>]</m:t>
        </m:r>
      </m:oMath>
      <w:r>
        <w:t xml:space="preserve">. The composition yields the observed distorted image</w:t>
      </w:r>
      <w:r>
        <w:t xml:space="preserve"> </w:t>
      </w:r>
      <m:oMath>
        <m:sSub>
          <m:e>
            <m:r>
              <m:t>x</m:t>
            </m:r>
          </m:e>
          <m:sub>
            <m:r>
              <m:t>d</m:t>
            </m:r>
          </m:sub>
        </m:sSub>
      </m:oMath>
      <w:r>
        <w:t xml:space="preserve">.</w:t>
      </w:r>
      <w:r>
        <w:t xml:space="preserve"> </w:t>
      </w:r>
      <w:r>
        <w:t xml:space="preserve">Following the construction described in Section 4.1,</w:t>
      </w:r>
      <w:r>
        <w:t xml:space="preserve"> </w:t>
      </w:r>
      <m:oMath>
        <m:sSub>
          <m:e>
            <m:r>
              <m:t>x</m:t>
            </m:r>
          </m:e>
          <m:sub>
            <m:r>
              <m:t>d</m:t>
            </m:r>
          </m:sub>
        </m:sSub>
      </m:oMath>
      <w:r>
        <w:t xml:space="preserve"> </w:t>
      </w:r>
      <w:r>
        <w:t xml:space="preserve">is subsequently de-warped by the</w:t>
      </w:r>
      <w:r>
        <w:t xml:space="preserve"> </w:t>
      </w:r>
      <w:r>
        <w:t xml:space="preserve">inverse homography</w:t>
      </w:r>
      <w:r>
        <w:t xml:space="preserve"> </w:t>
      </w:r>
      <m:oMath>
        <m:r>
          <m:t>R</m:t>
        </m:r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sSup>
          <m:e>
            <m:r>
              <m:rPr>
                <m:sty m:val="p"/>
              </m:rPr>
              <m:t>)</m:t>
            </m:r>
          </m:e>
          <m:sup>
            <m:r>
              <m:rPr>
                <m:sty m:val="p"/>
              </m:rPr>
              <m:t>−</m:t>
            </m:r>
            <m:r>
              <m:t>1</m:t>
            </m:r>
          </m:sup>
        </m:sSup>
      </m:oMath>
      <w:r>
        <w:t xml:space="preserve"> </w:t>
      </w:r>
      <w:r>
        <w:t xml:space="preserve">and resized to</w:t>
      </w:r>
      <w:r>
        <w:t xml:space="preserve"> </w:t>
      </w:r>
      <m:oMath>
        <m:r>
          <m:t>256</m:t>
        </m:r>
        <m:r>
          <m:rPr>
            <m:sty m:val="p"/>
          </m:rPr>
          <m:t>×</m:t>
        </m:r>
        <m:r>
          <m:t>64</m:t>
        </m:r>
      </m:oMath>
      <w:r>
        <w:t xml:space="preserve"> </w:t>
      </w:r>
      <w:r>
        <w:t xml:space="preserve">before being passed to</w:t>
      </w:r>
      <w:r>
        <w:t xml:space="preserve"> </w:t>
      </w:r>
      <w:r>
        <w:t xml:space="preserve">the restoration network; this re-aligned input is what each</w:t>
      </w:r>
      <w:r>
        <w:t xml:space="preserve"> </w:t>
      </w:r>
      <m:oMath>
        <m:sSub>
          <m:e>
            <m:r>
              <m:t>f</m:t>
            </m:r>
          </m:e>
          <m:sub>
            <m:r>
              <m:t>θ</m:t>
            </m:r>
          </m:sub>
        </m:sSub>
      </m:oMath>
      <w:r>
        <w:t xml:space="preserve"> </w:t>
      </w:r>
      <w:r>
        <w:t xml:space="preserve">learns to correct. Thus</w:t>
      </w:r>
      <w:r>
        <w:t xml:space="preserve"> </w:t>
      </w:r>
      <w:r>
        <w:t xml:space="preserve">the angular boundary reported in this paper is the boundary</w:t>
      </w:r>
      <w:r>
        <w:t xml:space="preserve"> </w:t>
      </w:r>
      <w:r>
        <w:rPr>
          <w:i/>
          <w:iCs/>
        </w:rPr>
        <w:t xml:space="preserve">after</w:t>
      </w:r>
      <w:r>
        <w:t xml:space="preserve"> </w:t>
      </w:r>
      <w:r>
        <w:t xml:space="preserve">inverse-homography</w:t>
      </w:r>
      <w:r>
        <w:t xml:space="preserve"> </w:t>
      </w:r>
      <w:r>
        <w:t xml:space="preserve">compensation and reflects what information remains after resampling, not the raw oblique capture.</w:t>
      </w:r>
      <w:r>
        <w:t xml:space="preserve"> </w:t>
      </w:r>
      <w:r>
        <w:t xml:space="preserve">The goal is to learn a restoration function</w:t>
      </w:r>
      <w:r>
        <w:t xml:space="preserve"> </w:t>
      </w:r>
      <m:oMath>
        <m:sSub>
          <m:e>
            <m:acc>
              <m:accPr>
                <m:chr m:val="̂"/>
              </m:accPr>
              <m:e>
                <m:r>
                  <m:t>x</m:t>
                </m:r>
              </m:e>
            </m:acc>
          </m:e>
          <m:sub>
            <m:r>
              <m:t>0</m:t>
            </m:r>
          </m:sub>
        </m:sSub>
        <m:r>
          <m:rPr>
            <m:sty m:val="p"/>
          </m:rPr>
          <m:t>=</m:t>
        </m:r>
        <m:sSub>
          <m:e>
            <m:r>
              <m:t>f</m:t>
            </m:r>
          </m:e>
          <m:sub>
            <m:r>
              <m:t>θ</m:t>
            </m:r>
          </m:sub>
        </m:sSub>
        <m:r>
          <m:rPr>
            <m:sty m:val="p"/>
          </m:rPr>
          <m:t>(</m:t>
        </m:r>
        <m:sSub>
          <m:e>
            <m:r>
              <m:t>x</m:t>
            </m:r>
          </m:e>
          <m:sub>
            <m:r>
              <m:t>d</m:t>
            </m:r>
          </m:sub>
        </m:sSub>
        <m:r>
          <m:rPr>
            <m:sty m:val="p"/>
          </m:rPr>
          <m:t>)</m:t>
        </m:r>
      </m:oMath>
      <w:r>
        <w:t xml:space="preserve"> </w:t>
      </w:r>
      <w:r>
        <w:t xml:space="preserve">such that an OCR engine</w:t>
      </w:r>
      <w:r>
        <w:t xml:space="preserve"> </w:t>
      </w:r>
      <w:r>
        <w:t xml:space="preserve">applied to</w:t>
      </w:r>
      <w:r>
        <w:t xml:space="preserve"> </w:t>
      </w:r>
      <m:oMath>
        <m:sSub>
          <m:e>
            <m:acc>
              <m:accPr>
                <m:chr m:val="̂"/>
              </m:accPr>
              <m:e>
                <m:r>
                  <m:t>x</m:t>
                </m:r>
              </m:e>
            </m:acc>
          </m:e>
          <m:sub>
            <m:r>
              <m:t>0</m:t>
            </m:r>
          </m:sub>
        </m:sSub>
      </m:oMath>
      <w:r>
        <w:t xml:space="preserve"> </w:t>
      </w:r>
      <w:r>
        <w:t xml:space="preserve">correctly reads the plate number.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Although the remainder of this paper specialises to LPR, the recoverability formalism introduced</w:t>
      </w:r>
      <w:r>
        <w:t xml:space="preserve"> </w:t>
      </w:r>
      <w:r>
        <w:t xml:space="preserve">below is task-agnostic: given any parameterised degradation space</w:t>
      </w:r>
      <w:r>
        <w:t xml:space="preserve"> </w:t>
      </w:r>
      <m:oMath>
        <m:r>
          <m:rPr>
            <m:scr m:val="script"/>
            <m:sty m:val="p"/>
          </m:rPr>
          <m:t>P</m:t>
        </m:r>
      </m:oMath>
      <w:r>
        <w:t xml:space="preserve"> </w:t>
      </w:r>
      <w:r>
        <w:t xml:space="preserve">and any binary</w:t>
      </w:r>
      <w:r>
        <w:t xml:space="preserve"> </w:t>
      </w:r>
      <w:r>
        <w:t xml:space="preserve">utility function</w:t>
      </w:r>
      <w:r>
        <w:t xml:space="preserve"> </w:t>
      </w:r>
      <m:oMath>
        <m:r>
          <m:t>u</m:t>
        </m:r>
        <m:r>
          <m:rPr>
            <m:sty m:val="p"/>
          </m:rPr>
          <m:t>:</m:t>
        </m:r>
        <m:r>
          <m:rPr>
            <m:scr m:val="script"/>
            <m:sty m:val="p"/>
          </m:rPr>
          <m:t>P</m:t>
        </m:r>
        <m:r>
          <m:rPr>
            <m:sty m:val="p"/>
          </m:rPr>
          <m:t>→</m:t>
        </m:r>
        <m:r>
          <m:rPr>
            <m:sty m:val="p"/>
          </m:rPr>
          <m:t>{</m:t>
        </m:r>
        <m:r>
          <m:t>0</m:t>
        </m:r>
        <m:r>
          <m:rPr>
            <m:sty m:val="p"/>
          </m:rPr>
          <m:t>,</m:t>
        </m:r>
        <m:r>
          <m:t>1</m:t>
        </m:r>
        <m:r>
          <m:rPr>
            <m:sty m:val="p"/>
          </m:rPr>
          <m:t>}</m:t>
        </m:r>
      </m:oMath>
      <w:r>
        <w:t xml:space="preserve"> </w:t>
      </w:r>
      <w:r>
        <w:t xml:space="preserve">indicating successful inference, the boundary-AUC</w:t>
      </w:r>
      <w:r>
        <w:t xml:space="preserve"> </w:t>
      </w:r>
      <w:r>
        <w:t xml:space="preserve">and reliability score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defined in Eqs. 5 and 7 carry over verbatim. In this paper</w:t>
      </w:r>
      <w:r>
        <w:t xml:space="preserve"> </w:t>
      </w:r>
      <m:oMath>
        <m:r>
          <m:rPr>
            <m:scr m:val="script"/>
            <m:sty m:val="p"/>
          </m:rPr>
          <m:t>P</m:t>
        </m:r>
        <m:r>
          <m:rPr>
            <m:sty m:val="p"/>
          </m:rPr>
          <m:t>=</m:t>
        </m:r>
        <m:r>
          <m:rPr>
            <m:sty m:val="p"/>
          </m:rPr>
          <m:t>[</m:t>
        </m:r>
        <m:sSup>
          <m:e>
            <m:r>
              <m:t>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89</m:t>
            </m:r>
          </m:e>
          <m:sup>
            <m:r>
              <m:rPr>
                <m:sty m:val="p"/>
              </m:rPr>
              <m:t>∘</m:t>
            </m:r>
          </m:sup>
        </m:sSup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is the oblique-angle grid and</w:t>
      </w:r>
      <w:r>
        <w:t xml:space="preserve"> </w:t>
      </w:r>
      <m:oMath>
        <m:r>
          <m:t>u</m:t>
        </m:r>
      </m:oMath>
      <w:r>
        <w:t xml:space="preserve"> </w:t>
      </w:r>
      <w:r>
        <w:t xml:space="preserve">is thresholded plate-level</w:t>
      </w:r>
      <w:r>
        <w:t xml:space="preserve"> </w:t>
      </w:r>
      <w:r>
        <w:t xml:space="preserve">OCR accuracy; other opportunistic-sensing tasks would instantiate</w:t>
      </w:r>
      <w:r>
        <w:t xml:space="preserve"> </w:t>
      </w:r>
      <m:oMath>
        <m:r>
          <m:rPr>
            <m:scr m:val="script"/>
            <m:sty m:val="p"/>
          </m:rPr>
          <m:t>P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u</m:t>
        </m:r>
      </m:oMath>
      <w:r>
        <w:t xml:space="preserve"> </w:t>
      </w:r>
      <w:r>
        <w:t xml:space="preserve">differently but use the same machinery.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Let</w:t>
      </w:r>
      <w:r>
        <w:t xml:space="preserve"> </w:t>
      </w:r>
      <m:oMath>
        <m:sSub>
          <m:e>
            <m:r>
              <m:rPr>
                <m:nor/>
                <m:sty m:val="p"/>
              </m:rPr>
              <m:t>OCR</m:t>
            </m:r>
          </m:e>
          <m:sub>
            <m:r>
              <m:rPr>
                <m:nor/>
                <m:sty m:val="p"/>
              </m:rPr>
              <m:t>plate</m:t>
            </m:r>
          </m:sub>
        </m:sSub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t>0</m:t>
        </m:r>
        <m:r>
          <m:rPr>
            <m:sty m:val="p"/>
          </m:rPr>
          <m:t>,</m:t>
        </m:r>
        <m:r>
          <m:t>1</m:t>
        </m:r>
        <m:r>
          <m:rPr>
            <m:sty m:val="p"/>
          </m:rPr>
          <m:t>]</m:t>
        </m:r>
      </m:oMath>
      <w:r>
        <w:t xml:space="preserve"> </w:t>
      </w:r>
      <w:r>
        <w:t xml:space="preserve">denote the mean plate-level recognition</w:t>
      </w:r>
      <w:r>
        <w:t xml:space="preserve"> </w:t>
      </w:r>
      <w:r>
        <w:t xml:space="preserve">accuracy (fraction of digits correctly identified) over a set of test images at angle pair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</m:oMath>
      <w:r>
        <w:t xml:space="preserve">. We define the binary</w:t>
      </w:r>
      <w:r>
        <w:t xml:space="preserve"> </w:t>
      </w:r>
      <w:r>
        <w:rPr>
          <w:i/>
          <w:iCs/>
        </w:rPr>
        <w:t xml:space="preserve">recoverability indicator</w:t>
      </w:r>
      <w:r>
        <w:t xml:space="preserve"> </w:t>
      </w:r>
      <w:r>
        <w:t xml:space="preserve">at threshold</w:t>
      </w:r>
      <w:r>
        <w:t xml:space="preserve"> </w:t>
      </w:r>
      <m:oMath>
        <m:r>
          <m:t>T</m:t>
        </m:r>
      </m:oMath>
      <w:r>
        <w:t xml:space="preserve">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r>
              <m:t>r</m:t>
            </m:r>
          </m:e>
          <m:sub>
            <m:r>
              <m:t>T</m:t>
            </m:r>
          </m:sub>
        </m:sSub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  <m:r>
          <m:rPr>
            <m:sty m:val="p"/>
          </m:rPr>
          <m:t>=</m:t>
        </m:r>
        <m:r>
          <m:rPr>
            <m:sty m:val="b"/>
          </m:rPr>
          <m:t>1</m:t>
        </m:r>
        <m:r>
          <m:t>​</m:t>
        </m:r>
        <m:d>
          <m:dPr>
            <m:begChr m:val="["/>
            <m:sepChr m:val=""/>
            <m:endChr m:val="]"/>
            <m:grow/>
          </m:dPr>
          <m:e>
            <m:sSub>
              <m:e>
                <m:r>
                  <m:rPr>
                    <m:nor/>
                    <m:sty m:val="p"/>
                  </m:rPr>
                  <m:t>OCR</m:t>
                </m:r>
              </m:e>
              <m:sub>
                <m:r>
                  <m:rPr>
                    <m:nor/>
                    <m:sty m:val="p"/>
                  </m:rPr>
                  <m:t>plate</m:t>
                </m:r>
              </m:sub>
            </m:sSub>
            <m:r>
              <m:rPr>
                <m:sty m:val="p"/>
              </m:rPr>
              <m:t>(</m:t>
            </m:r>
            <m:r>
              <m:t>α</m:t>
            </m:r>
            <m:r>
              <m:rPr>
                <m:sty m:val="p"/>
              </m:rPr>
              <m:t>,</m:t>
            </m:r>
            <m:r>
              <m:t>β</m:t>
            </m:r>
            <m:r>
              <m:rPr>
                <m:sty m:val="p"/>
              </m:rPr>
              <m:t>)</m:t>
            </m:r>
            <m:r>
              <m:rPr>
                <m:sty m:val="p"/>
              </m:rPr>
              <m:t>≥</m:t>
            </m:r>
            <m:r>
              <m:t>T</m:t>
            </m:r>
          </m:e>
        </m:d>
      </m:oMath>
      <w:r>
        <w:tab/>
        <w:t xml:space="preserve">(2)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We set</w:t>
      </w:r>
      <w:r>
        <w:t xml:space="preserve"> </w:t>
      </w:r>
      <m:oMath>
        <m:r>
          <m:t>T</m:t>
        </m:r>
        <m:r>
          <m:rPr>
            <m:sty m:val="p"/>
          </m:rPr>
          <m:t>=</m:t>
        </m:r>
        <m:r>
          <m:t>0.9</m:t>
        </m:r>
      </m:oMath>
      <w:r>
        <w:t xml:space="preserve">, requiring at least 9 out of 10 plates at each angle pair to be fully recognized.</w:t>
      </w:r>
      <w:r>
        <w:t xml:space="preserve"> </w:t>
      </w:r>
      <w:r>
        <w:t xml:space="preserve">The</w:t>
      </w:r>
      <w:r>
        <w:t xml:space="preserve"> </w:t>
      </w:r>
      <w:r>
        <w:rPr>
          <w:i/>
          <w:iCs/>
        </w:rPr>
        <w:t xml:space="preserve">recoverability boundary</w:t>
      </w:r>
      <w:r>
        <w:t xml:space="preserve"> </w:t>
      </w:r>
      <m:oMath>
        <m:sSub>
          <m:e>
            <m:r>
              <m:t>B</m:t>
            </m:r>
          </m:e>
          <m:sub>
            <m:r>
              <m:t>T</m:t>
            </m:r>
          </m:sub>
        </m:sSub>
      </m:oMath>
      <w:r>
        <w:t xml:space="preserve"> </w:t>
      </w:r>
      <w:r>
        <w:t xml:space="preserve">is the outer envelope of the region where</w:t>
      </w:r>
      <w:r>
        <w:t xml:space="preserve"> </w:t>
      </w:r>
      <m:oMath>
        <m:sSub>
          <m:e>
            <m:r>
              <m:t>r</m:t>
            </m:r>
          </m:e>
          <m:sub>
            <m:r>
              <m:t>T</m:t>
            </m:r>
          </m:sub>
        </m:sSub>
        <m:r>
          <m:rPr>
            <m:sty m:val="p"/>
          </m:rPr>
          <m:t>=</m:t>
        </m:r>
        <m:r>
          <m:t>1</m:t>
        </m:r>
      </m:oMath>
      <w:r>
        <w:t xml:space="preserve">.</w:t>
      </w:r>
      <w:r>
        <w:t xml:space="preserve"> </w:t>
      </w:r>
      <w:r>
        <w:t xml:space="preserve">Formally, define (using the convention</w:t>
      </w:r>
      <w:r>
        <w:t xml:space="preserve"> </w:t>
      </w:r>
      <m:oMath>
        <m:r>
          <m:rPr>
            <m:sty m:val="p"/>
          </m:rPr>
          <m:t>max</m:t>
        </m:r>
        <m:r>
          <m:rPr>
            <m:sty m:val="p"/>
          </m:rPr>
          <m:t>⌀</m:t>
        </m:r>
        <m:r>
          <m:rPr>
            <m:sty m:val="p"/>
          </m:rPr>
          <m:t>=</m:t>
        </m:r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so a fully unrecoverable slice is</w:t>
      </w:r>
      <w:r>
        <w:t xml:space="preserve"> </w:t>
      </w:r>
      <w:r>
        <w:t xml:space="preserve">distinguishable from a boundary at</w:t>
      </w:r>
      <w:r>
        <w:t xml:space="preserve"> </w:t>
      </w:r>
      <m:oMath>
        <m:r>
          <m:t>β</m:t>
        </m:r>
        <m:r>
          <m:rPr>
            <m:sty m:val="p"/>
          </m:rPr>
          <m:t>=</m:t>
        </m:r>
        <m:r>
          <m:t>0</m:t>
        </m:r>
      </m:oMath>
      <w:r>
        <w:t xml:space="preserve">):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r>
              <m:t>β</m:t>
            </m:r>
          </m:e>
          <m:sub>
            <m:r>
              <m:rPr>
                <m:sty m:val="p"/>
              </m:rPr>
              <m:t>max</m:t>
            </m:r>
          </m:sub>
        </m:sSub>
        <m:r>
          <m:rPr>
            <m:sty m:val="p"/>
          </m:rPr>
          <m:t>(</m:t>
        </m:r>
        <m:r>
          <m:t>α</m:t>
        </m:r>
        <m:r>
          <m:rPr>
            <m:sty m:val="p"/>
          </m:rPr>
          <m:t>)</m:t>
        </m:r>
        <m:r>
          <m:rPr>
            <m:sty m:val="p"/>
          </m:rPr>
          <m:t>=</m:t>
        </m:r>
        <m:r>
          <m:rPr>
            <m:sty m:val="p"/>
          </m:rPr>
          <m:t>max</m:t>
        </m:r>
        <m:r>
          <m:t>​</m:t>
        </m:r>
        <m:d>
          <m:dPr>
            <m:begChr m:val="("/>
            <m:sepChr m:val=""/>
            <m:endChr m:val=")"/>
            <m:grow/>
          </m:dPr>
          <m:e>
            <m:r>
              <m:rPr>
                <m:sty m:val="p"/>
              </m:rPr>
              <m:t>{</m:t>
            </m:r>
            <m:r>
              <m:rPr>
                <m:sty m:val="p"/>
              </m:rPr>
              <m:t>−</m:t>
            </m:r>
            <m:r>
              <m:t>1</m:t>
            </m:r>
            <m:r>
              <m:rPr>
                <m:sty m:val="p"/>
              </m:rPr>
              <m:t>}</m:t>
            </m:r>
            <m:r>
              <m:rPr>
                <m:sty m:val="p"/>
              </m:rPr>
              <m:t>∪</m:t>
            </m:r>
            <m:r>
              <m:rPr>
                <m:sty m:val="p"/>
              </m:rPr>
              <m:t>{</m:t>
            </m:r>
            <m:r>
              <m:t>β</m:t>
            </m:r>
            <m:r>
              <m:rPr>
                <m:sty m:val="p"/>
              </m:rPr>
              <m:t>∈</m:t>
            </m:r>
            <m:r>
              <m:rPr>
                <m:sty m:val="p"/>
              </m:rPr>
              <m:t>[</m:t>
            </m:r>
            <m:r>
              <m:t>0</m:t>
            </m:r>
            <m:r>
              <m:rPr>
                <m:sty m:val="p"/>
              </m:rPr>
              <m:t>,</m:t>
            </m:r>
            <m:r>
              <m:t>89</m:t>
            </m:r>
            <m:r>
              <m:rPr>
                <m:sty m:val="p"/>
              </m:rPr>
              <m:t>]</m:t>
            </m:r>
            <m:r>
              <m:rPr>
                <m:sty m:val="p"/>
              </m:rPr>
              <m:t>∣</m:t>
            </m:r>
            <m:sSub>
              <m:e>
                <m:r>
                  <m:t>r</m:t>
                </m:r>
              </m:e>
              <m:sub>
                <m:r>
                  <m:t>T</m:t>
                </m:r>
              </m:sub>
            </m:sSub>
            <m:r>
              <m:rPr>
                <m:sty m:val="p"/>
              </m:rPr>
              <m:t>(</m:t>
            </m:r>
            <m:r>
              <m:t>α</m:t>
            </m:r>
            <m:r>
              <m:rPr>
                <m:sty m:val="p"/>
              </m:rPr>
              <m:t>,</m:t>
            </m:r>
            <m:r>
              <m:t>β</m:t>
            </m:r>
            <m:r>
              <m:rPr>
                <m:sty m:val="p"/>
              </m:rPr>
              <m:t>)</m:t>
            </m:r>
            <m:r>
              <m:rPr>
                <m:sty m:val="p"/>
              </m:rPr>
              <m:t>=</m:t>
            </m:r>
            <m:r>
              <m:t>1</m:t>
            </m:r>
            <m:r>
              <m:rPr>
                <m:sty m:val="p"/>
              </m:rPr>
              <m:t>}</m:t>
            </m:r>
          </m:e>
        </m:d>
      </m:oMath>
      <w:r>
        <w:tab/>
        <w:t xml:space="preserve">(3)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r>
              <m:t>α</m:t>
            </m:r>
          </m:e>
          <m:sub>
            <m:r>
              <m:rPr>
                <m:sty m:val="p"/>
              </m:rPr>
              <m:t>max</m:t>
            </m:r>
          </m:sub>
        </m:sSub>
        <m:r>
          <m:rPr>
            <m:sty m:val="p"/>
          </m:rPr>
          <m:t>(</m:t>
        </m:r>
        <m:r>
          <m:t>β</m:t>
        </m:r>
        <m:r>
          <m:rPr>
            <m:sty m:val="p"/>
          </m:rPr>
          <m:t>)</m:t>
        </m:r>
        <m:r>
          <m:rPr>
            <m:sty m:val="p"/>
          </m:rPr>
          <m:t>=</m:t>
        </m:r>
        <m:r>
          <m:rPr>
            <m:sty m:val="p"/>
          </m:rPr>
          <m:t>max</m:t>
        </m:r>
        <m:r>
          <m:t>​</m:t>
        </m:r>
        <m:d>
          <m:dPr>
            <m:begChr m:val="("/>
            <m:sepChr m:val=""/>
            <m:endChr m:val=")"/>
            <m:grow/>
          </m:dPr>
          <m:e>
            <m:r>
              <m:rPr>
                <m:sty m:val="p"/>
              </m:rPr>
              <m:t>{</m:t>
            </m:r>
            <m:r>
              <m:rPr>
                <m:sty m:val="p"/>
              </m:rPr>
              <m:t>−</m:t>
            </m:r>
            <m:r>
              <m:t>1</m:t>
            </m:r>
            <m:r>
              <m:rPr>
                <m:sty m:val="p"/>
              </m:rPr>
              <m:t>}</m:t>
            </m:r>
            <m:r>
              <m:rPr>
                <m:sty m:val="p"/>
              </m:rPr>
              <m:t>∪</m:t>
            </m:r>
            <m:r>
              <m:rPr>
                <m:sty m:val="p"/>
              </m:rPr>
              <m:t>{</m:t>
            </m:r>
            <m:r>
              <m:t>α</m:t>
            </m:r>
            <m:r>
              <m:rPr>
                <m:sty m:val="p"/>
              </m:rPr>
              <m:t>∈</m:t>
            </m:r>
            <m:r>
              <m:rPr>
                <m:sty m:val="p"/>
              </m:rPr>
              <m:t>[</m:t>
            </m:r>
            <m:r>
              <m:t>0</m:t>
            </m:r>
            <m:r>
              <m:rPr>
                <m:sty m:val="p"/>
              </m:rPr>
              <m:t>,</m:t>
            </m:r>
            <m:r>
              <m:t>89</m:t>
            </m:r>
            <m:r>
              <m:rPr>
                <m:sty m:val="p"/>
              </m:rPr>
              <m:t>]</m:t>
            </m:r>
            <m:r>
              <m:rPr>
                <m:sty m:val="p"/>
              </m:rPr>
              <m:t>∣</m:t>
            </m:r>
            <m:sSub>
              <m:e>
                <m:r>
                  <m:t>r</m:t>
                </m:r>
              </m:e>
              <m:sub>
                <m:r>
                  <m:t>T</m:t>
                </m:r>
              </m:sub>
            </m:sSub>
            <m:r>
              <m:rPr>
                <m:sty m:val="p"/>
              </m:rPr>
              <m:t>(</m:t>
            </m:r>
            <m:r>
              <m:t>α</m:t>
            </m:r>
            <m:r>
              <m:rPr>
                <m:sty m:val="p"/>
              </m:rPr>
              <m:t>,</m:t>
            </m:r>
            <m:r>
              <m:t>β</m:t>
            </m:r>
            <m:r>
              <m:rPr>
                <m:sty m:val="p"/>
              </m:rPr>
              <m:t>)</m:t>
            </m:r>
            <m:r>
              <m:rPr>
                <m:sty m:val="p"/>
              </m:rPr>
              <m:t>=</m:t>
            </m:r>
            <m:r>
              <m:t>1</m:t>
            </m:r>
            <m:r>
              <m:rPr>
                <m:sty m:val="p"/>
              </m:rPr>
              <m:t>}</m:t>
            </m:r>
          </m:e>
        </m:d>
      </m:oMath>
      <w:r>
        <w:tab/>
        <w:t xml:space="preserve">(4)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The boundary is</w:t>
      </w:r>
      <w:r>
        <w:t xml:space="preserve"> </w:t>
      </w:r>
      <m:oMath>
        <m:sSub>
          <m:e>
            <m:r>
              <m:t>B</m:t>
            </m:r>
          </m:e>
          <m:sub>
            <m:r>
              <m:t>T</m:t>
            </m:r>
          </m:sub>
        </m:sSub>
        <m:r>
          <m:rPr>
            <m:sty m:val="p"/>
          </m:rPr>
          <m:t>=</m:t>
        </m:r>
        <m:sSub>
          <m:e>
            <m:r>
              <m:t>C</m:t>
            </m:r>
          </m:e>
          <m:sub>
            <m:r>
              <m:t>1</m:t>
            </m:r>
          </m:sub>
        </m:sSub>
        <m:r>
          <m:rPr>
            <m:sty m:val="p"/>
          </m:rPr>
          <m:t>∪</m:t>
        </m:r>
        <m:sSub>
          <m:e>
            <m:r>
              <m:t>C</m:t>
            </m:r>
          </m:e>
          <m:sub>
            <m:r>
              <m:t>2</m:t>
            </m:r>
          </m:sub>
        </m:sSub>
      </m:oMath>
      <w:r>
        <w:t xml:space="preserve"> </w:t>
      </w:r>
      <w:r>
        <w:t xml:space="preserve">where</w:t>
      </w:r>
      <w:r>
        <w:t xml:space="preserve"> </w:t>
      </w:r>
      <m:oMath>
        <m:sSub>
          <m:e>
            <m:r>
              <m:t>C</m:t>
            </m:r>
          </m:e>
          <m:sub>
            <m:r>
              <m:t>1</m:t>
            </m:r>
          </m:sub>
        </m:sSub>
        <m:r>
          <m:rPr>
            <m:sty m:val="p"/>
          </m:rPr>
          <m:t>=</m:t>
        </m:r>
        <m:r>
          <m:rPr>
            <m:sty m:val="p"/>
          </m:rPr>
          <m:t>{</m:t>
        </m:r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sSub>
          <m:e>
            <m:r>
              <m:t>β</m:t>
            </m:r>
          </m:e>
          <m:sub>
            <m:r>
              <m:rPr>
                <m:sty m:val="p"/>
              </m:rPr>
              <m:t>max</m:t>
            </m:r>
          </m:sub>
        </m:sSub>
        <m:r>
          <m:rPr>
            <m:sty m:val="p"/>
          </m:rPr>
          <m:t>(</m:t>
        </m:r>
        <m:r>
          <m:t>α</m:t>
        </m:r>
        <m:r>
          <m:rPr>
            <m:sty m:val="p"/>
          </m:rPr>
          <m:t>)</m:t>
        </m:r>
        <m:r>
          <m:rPr>
            <m:sty m:val="p"/>
          </m:rPr>
          <m:t>)</m:t>
        </m:r>
        <m:r>
          <m:rPr>
            <m:sty m:val="p"/>
          </m:rPr>
          <m:t>}</m:t>
        </m:r>
      </m:oMath>
      <w:r>
        <w:t xml:space="preserve"> </w:t>
      </w:r>
      <w:r>
        <w:t xml:space="preserve">and</w:t>
      </w:r>
      <w:r>
        <w:t xml:space="preserve"> </w:t>
      </w:r>
      <m:oMath>
        <m:sSub>
          <m:e>
            <m:r>
              <m:t>C</m:t>
            </m:r>
          </m:e>
          <m:sub>
            <m:r>
              <m:t>2</m:t>
            </m:r>
          </m:sub>
        </m:sSub>
        <m:r>
          <m:rPr>
            <m:sty m:val="p"/>
          </m:rPr>
          <m:t>=</m:t>
        </m:r>
        <m:r>
          <m:rPr>
            <m:sty m:val="p"/>
          </m:rPr>
          <m:t>{</m:t>
        </m:r>
        <m:r>
          <m:rPr>
            <m:sty m:val="p"/>
          </m:rPr>
          <m:t>(</m:t>
        </m:r>
        <m:sSub>
          <m:e>
            <m:r>
              <m:t>α</m:t>
            </m:r>
          </m:e>
          <m:sub>
            <m:r>
              <m:rPr>
                <m:sty m:val="p"/>
              </m:rPr>
              <m:t>max</m:t>
            </m:r>
          </m:sub>
        </m:sSub>
        <m:r>
          <m:rPr>
            <m:sty m:val="p"/>
          </m:rPr>
          <m:t>(</m:t>
        </m:r>
        <m:r>
          <m:t>β</m:t>
        </m:r>
        <m:r>
          <m:rPr>
            <m:sty m:val="p"/>
          </m:rPr>
          <m:t>)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  <m:r>
          <m:rPr>
            <m:sty m:val="p"/>
          </m:rPr>
          <m:t>}</m:t>
        </m:r>
      </m:oMath>
      <w:r>
        <w:t xml:space="preserve"> </w:t>
      </w:r>
      <w:r>
        <w:t xml:space="preserve">for</w:t>
      </w:r>
      <w:r>
        <w:t xml:space="preserve"> </w:t>
      </w:r>
      <m:oMath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t>0</m:t>
        </m:r>
        <m:r>
          <m:rPr>
            <m:sty m:val="p"/>
          </m:rPr>
          <m:t>,</m:t>
        </m:r>
        <m:r>
          <m:t>89</m:t>
        </m:r>
        <m:r>
          <m:rPr>
            <m:sty m:val="p"/>
          </m:rPr>
          <m:t>]</m:t>
        </m:r>
      </m:oMath>
      <w:r>
        <w:t xml:space="preserve">. The</w:t>
      </w:r>
      <w:r>
        <w:t xml:space="preserve"> </w:t>
      </w:r>
      <w:r>
        <w:rPr>
          <w:i/>
          <w:iCs/>
        </w:rPr>
        <w:t xml:space="preserve">boundary-AUC</w:t>
      </w:r>
      <w:r>
        <w:t xml:space="preserve"> </w:t>
      </w:r>
      <w:r>
        <w:t xml:space="preserve">normalises the enclosed area by the full grid: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r>
          <m:rPr>
            <m:nor/>
            <m:sty m:val="p"/>
          </m:rPr>
          <m:t>AUC</m:t>
        </m:r>
        <m:r>
          <m:rPr>
            <m:sty m:val="p"/>
          </m:rPr>
          <m:t>=</m:t>
        </m:r>
        <m:f>
          <m:fPr>
            <m:type m:val="bar"/>
          </m:fPr>
          <m:num>
            <m:r>
              <m:t>1</m:t>
            </m:r>
          </m:num>
          <m:den>
            <m:sSup>
              <m:e>
                <m:r>
                  <m:t>89</m:t>
                </m:r>
              </m:e>
              <m:sup>
                <m:r>
                  <m:t>2</m:t>
                </m:r>
              </m:sup>
            </m:sSup>
          </m:den>
        </m:f>
        <m:r>
          <m:rPr>
            <m:sty m:val="p"/>
          </m:rPr>
          <m:t>⋅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  <m:r>
          <m:t>​</m:t>
        </m:r>
        <m:d>
          <m:dPr>
            <m:begChr m:val="("/>
            <m:sepChr m:val=""/>
            <m:endChr m:val=")"/>
            <m:grow/>
          </m:dPr>
          <m:e>
            <m:nary>
              <m:naryPr>
                <m:chr m:val="∫"/>
                <m:limLoc m:val="subSup"/>
                <m:subHide m:val="off"/>
                <m:supHide m:val="off"/>
              </m:naryPr>
              <m:sub>
                <m:r>
                  <m:t>0</m:t>
                </m:r>
              </m:sub>
              <m:sup>
                <m:r>
                  <m:t>89</m:t>
                </m:r>
              </m:sup>
              <m:e>
                <m:r>
                  <m:t>​</m:t>
                </m:r>
              </m:e>
            </m:nary>
            <m:sSub>
              <m:e>
                <m:r>
                  <m:t>β</m:t>
                </m:r>
              </m:e>
              <m:sub>
                <m:r>
                  <m:rPr>
                    <m:sty m:val="p"/>
                  </m:rPr>
                  <m:t>max</m:t>
                </m:r>
              </m:sub>
            </m:sSub>
            <m:r>
              <m:rPr>
                <m:sty m:val="p"/>
              </m:rPr>
              <m:t>(</m:t>
            </m:r>
            <m:r>
              <m:t>α</m:t>
            </m:r>
            <m:r>
              <m:rPr>
                <m:sty m:val="p"/>
              </m:rPr>
              <m:t>)</m:t>
            </m:r>
            <m:r>
              <m:t> </m:t>
            </m:r>
            <m:r>
              <m:t>d</m:t>
            </m:r>
            <m:r>
              <m:t>α</m:t>
            </m:r>
            <m:r>
              <m:rPr>
                <m:sty m:val="p"/>
              </m:rPr>
              <m:t>+</m:t>
            </m:r>
            <m:nary>
              <m:naryPr>
                <m:chr m:val="∫"/>
                <m:limLoc m:val="subSup"/>
                <m:subHide m:val="off"/>
                <m:supHide m:val="off"/>
              </m:naryPr>
              <m:sub>
                <m:r>
                  <m:t>0</m:t>
                </m:r>
              </m:sub>
              <m:sup>
                <m:r>
                  <m:t>89</m:t>
                </m:r>
              </m:sup>
              <m:e>
                <m:r>
                  <m:t>​</m:t>
                </m:r>
              </m:e>
            </m:nary>
            <m:sSub>
              <m:e>
                <m:r>
                  <m:t>α</m:t>
                </m:r>
              </m:e>
              <m:sub>
                <m:r>
                  <m:rPr>
                    <m:sty m:val="p"/>
                  </m:rPr>
                  <m:t>max</m:t>
                </m:r>
              </m:sub>
            </m:sSub>
            <m:r>
              <m:rPr>
                <m:sty m:val="p"/>
              </m:rPr>
              <m:t>(</m:t>
            </m:r>
            <m:r>
              <m:t>β</m:t>
            </m:r>
            <m:r>
              <m:rPr>
                <m:sty m:val="p"/>
              </m:rPr>
              <m:t>)</m:t>
            </m:r>
            <m:r>
              <m:t> </m:t>
            </m:r>
            <m:r>
              <m:t>d</m:t>
            </m:r>
            <m:r>
              <m:t>β</m:t>
            </m:r>
          </m:e>
        </m:d>
      </m:oMath>
      <w:r>
        <w:tab/>
        <w:t xml:space="preserve">(5)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Boundary-AUC measures the area enclosed by the outer envelope of the recoverable region and</w:t>
      </w:r>
      <w:r>
        <w:t xml:space="preserve"> </w:t>
      </w:r>
      <w:r>
        <w:t xml:space="preserve">therefore quantifies its</w:t>
      </w:r>
      <w:r>
        <w:t xml:space="preserve"> </w:t>
      </w:r>
      <w:r>
        <w:rPr>
          <w:i/>
          <w:iCs/>
        </w:rPr>
        <w:t xml:space="preserve">coverage</w:t>
      </w:r>
      <w:r>
        <w:t xml:space="preserve">; by construction it does not penalise non-convex</w:t>
      </w:r>
      <w:r>
        <w:t xml:space="preserve"> </w:t>
      </w:r>
      <w:r>
        <w:t xml:space="preserve">structure, for instance holes of failure inside the envelope, which can inflate AUC relative to</w:t>
      </w:r>
      <w:r>
        <w:t xml:space="preserve"> </w:t>
      </w:r>
      <w:r>
        <w:t xml:space="preserve">the actually recoverable area. To capture the</w:t>
      </w:r>
      <w:r>
        <w:t xml:space="preserve"> </w:t>
      </w:r>
      <w:r>
        <w:rPr>
          <w:i/>
          <w:iCs/>
        </w:rPr>
        <w:t xml:space="preserve">consistency</w:t>
      </w:r>
      <w:r>
        <w:t xml:space="preserve"> </w:t>
      </w:r>
      <w:r>
        <w:t xml:space="preserve">of recoverability inside</w:t>
      </w:r>
      <w:r>
        <w:t xml:space="preserve"> </w:t>
      </w:r>
      <m:oMath>
        <m:sSub>
          <m:e>
            <m:r>
              <m:t>B</m:t>
            </m:r>
          </m:e>
          <m:sub>
            <m:r>
              <m:t>T</m:t>
            </m:r>
          </m:sub>
        </m:sSub>
      </m:oMath>
      <w:r>
        <w:t xml:space="preserve">, we measure how deeply failures penetrate the recoverable region, a quantity conceptually</w:t>
      </w:r>
      <w:r>
        <w:t xml:space="preserve"> </w:t>
      </w:r>
      <w:r>
        <w:t xml:space="preserve">related to erosion-style measures in mathematical morphology</w:t>
      </w:r>
      <w:r>
        <w:t xml:space="preserve"> </w:t>
      </w:r>
      <w:r>
        <w:t xml:space="preserve">(</w:t>
      </w:r>
      <w:hyperlink w:anchor="r37">
        <w:r>
          <w:rPr>
            <w:rStyle w:val="Hyperlink"/>
          </w:rPr>
          <w:t xml:space="preserve">Serra, 1982</w:t>
        </w:r>
      </w:hyperlink>
      <w:r>
        <w:t xml:space="preserve">). For each failed angle pair</w:t>
      </w:r>
      <w:r>
        <w:t xml:space="preserve"> </w:t>
      </w:r>
      <m:oMath>
        <m:r>
          <m:rPr>
            <m:sty m:val="p"/>
          </m:rPr>
          <m:t>(</m:t>
        </m:r>
        <m:sSub>
          <m:e>
            <m:r>
              <m:t>α</m:t>
            </m:r>
          </m:e>
          <m:sub>
            <m:r>
              <m:t>h</m:t>
            </m:r>
          </m:sub>
        </m:sSub>
        <m:r>
          <m:rPr>
            <m:sty m:val="p"/>
          </m:rPr>
          <m:t>,</m:t>
        </m:r>
        <m:sSub>
          <m:e>
            <m:r>
              <m:t>β</m:t>
            </m:r>
          </m:e>
          <m:sub>
            <m:r>
              <m:t>h</m:t>
            </m:r>
          </m:sub>
        </m:sSub>
        <m:r>
          <m:rPr>
            <m:sty m:val="p"/>
          </m:rPr>
          <m:t>)</m:t>
        </m:r>
      </m:oMath>
      <w:r>
        <w:t xml:space="preserve"> </w:t>
      </w:r>
      <w:r>
        <w:t xml:space="preserve">inside</w:t>
      </w:r>
      <w:r>
        <w:t xml:space="preserve"> </w:t>
      </w:r>
      <m:oMath>
        <m:sSub>
          <m:e>
            <m:r>
              <m:t>B</m:t>
            </m:r>
          </m:e>
          <m:sub>
            <m:r>
              <m:t>T</m:t>
            </m:r>
          </m:sub>
        </m:sSub>
      </m:oMath>
      <w:r>
        <w:t xml:space="preserve">, compute its minimum Euclidean distance to the boundary: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r>
              <m:t>d</m:t>
            </m:r>
          </m:e>
          <m:sub>
            <m:r>
              <m:t>h</m:t>
            </m:r>
          </m:sub>
        </m:sSub>
        <m:r>
          <m:rPr>
            <m:sty m:val="p"/>
          </m:rPr>
          <m:t>=</m:t>
        </m:r>
        <m:limLow>
          <m:e>
            <m:r>
              <m:rPr>
                <m:sty m:val="p"/>
              </m:rPr>
              <m:t>min</m:t>
            </m:r>
          </m:e>
          <m:lim>
            <m:r>
              <m:rPr>
                <m:sty m:val="p"/>
              </m:rPr>
              <m:t>(</m:t>
            </m:r>
            <m:sSub>
              <m:e>
                <m:r>
                  <m:t>α</m:t>
                </m:r>
              </m:e>
              <m:sub>
                <m:r>
                  <m:t>b</m:t>
                </m:r>
              </m:sub>
            </m:sSub>
            <m:r>
              <m:rPr>
                <m:sty m:val="p"/>
              </m:rPr>
              <m:t>,</m:t>
            </m:r>
            <m:sSub>
              <m:e>
                <m:r>
                  <m:t>β</m:t>
                </m:r>
              </m:e>
              <m:sub>
                <m:r>
                  <m:t>b</m:t>
                </m:r>
              </m:sub>
            </m:sSub>
            <m:r>
              <m:rPr>
                <m:sty m:val="p"/>
              </m:rPr>
              <m:t>)</m:t>
            </m:r>
            <m:r>
              <m:rPr>
                <m:sty m:val="p"/>
              </m:rPr>
              <m:t>∈</m:t>
            </m:r>
            <m:sSub>
              <m:e>
                <m:r>
                  <m:t>B</m:t>
                </m:r>
              </m:e>
              <m:sub>
                <m:r>
                  <m:t>T</m:t>
                </m:r>
              </m:sub>
            </m:sSub>
          </m:lim>
        </m:limLow>
        <m:r>
          <m:t>​</m:t>
        </m:r>
        <m:rad>
          <m:radPr>
            <m:degHide m:val="on"/>
          </m:radPr>
          <m:deg/>
          <m:e>
            <m:r>
              <m:rPr>
                <m:sty m:val="p"/>
              </m:rPr>
              <m:t>(</m:t>
            </m:r>
            <m:sSub>
              <m:e>
                <m:r>
                  <m:t>α</m:t>
                </m:r>
              </m:e>
              <m:sub>
                <m:r>
                  <m:t>h</m:t>
                </m:r>
              </m:sub>
            </m:sSub>
            <m:r>
              <m:rPr>
                <m:sty m:val="p"/>
              </m:rPr>
              <m:t>−</m:t>
            </m:r>
            <m:sSub>
              <m:e>
                <m:r>
                  <m:t>α</m:t>
                </m:r>
              </m:e>
              <m:sub>
                <m:r>
                  <m:t>b</m:t>
                </m:r>
              </m:sub>
            </m:sSub>
            <m:sSup>
              <m:e>
                <m:r>
                  <m:rPr>
                    <m:sty m:val="p"/>
                  </m:rPr>
                  <m:t>)</m:t>
                </m:r>
              </m:e>
              <m:sup>
                <m:r>
                  <m:t>2</m:t>
                </m:r>
              </m:sup>
            </m:sSup>
            <m:r>
              <m:rPr>
                <m:sty m:val="p"/>
              </m:rPr>
              <m:t>+</m:t>
            </m:r>
            <m:r>
              <m:rPr>
                <m:sty m:val="p"/>
              </m:rPr>
              <m:t>(</m:t>
            </m:r>
            <m:sSub>
              <m:e>
                <m:r>
                  <m:t>β</m:t>
                </m:r>
              </m:e>
              <m:sub>
                <m:r>
                  <m:t>h</m:t>
                </m:r>
              </m:sub>
            </m:sSub>
            <m:r>
              <m:rPr>
                <m:sty m:val="p"/>
              </m:rPr>
              <m:t>−</m:t>
            </m:r>
            <m:sSub>
              <m:e>
                <m:r>
                  <m:t>β</m:t>
                </m:r>
              </m:e>
              <m:sub>
                <m:r>
                  <m:t>b</m:t>
                </m:r>
              </m:sub>
            </m:sSub>
            <m:sSup>
              <m:e>
                <m:r>
                  <m:rPr>
                    <m:sty m:val="p"/>
                  </m:rPr>
                  <m:t>)</m:t>
                </m:r>
              </m:e>
              <m:sup>
                <m:r>
                  <m:t>2</m:t>
                </m:r>
              </m:sup>
            </m:sSup>
          </m:e>
        </m:rad>
      </m:oMath>
      <w:r>
        <w:tab/>
        <w:t xml:space="preserve">(6)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The</w:t>
      </w:r>
      <w:r>
        <w:t xml:space="preserve"> </w:t>
      </w:r>
      <w:r>
        <w:rPr>
          <w:i/>
          <w:iCs/>
        </w:rPr>
        <w:t xml:space="preserve">reliability score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is the root-mean-square of these distances, normalised by the</w:t>
      </w:r>
      <w:r>
        <w:t xml:space="preserve"> </w:t>
      </w:r>
      <w:r>
        <w:t xml:space="preserve">enclosed area</w:t>
      </w:r>
      <w:r>
        <w:t xml:space="preserve"> </w:t>
      </w:r>
      <m:oMath>
        <m:r>
          <m:t>E</m:t>
        </m:r>
      </m:oMath>
      <w:r>
        <w:t xml:space="preserve">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r>
          <m:t>F</m:t>
        </m:r>
        <m:r>
          <m:rPr>
            <m:sty m:val="p"/>
          </m:rPr>
          <m:t>=</m:t>
        </m:r>
        <m:rad>
          <m:radPr>
            <m:degHide m:val="on"/>
          </m:radPr>
          <m:deg/>
          <m:e>
            <m:f>
              <m:fPr>
                <m:type m:val="bar"/>
              </m:fPr>
              <m:num>
                <m:r>
                  <m:t>1</m:t>
                </m:r>
              </m:num>
              <m:den>
                <m:r>
                  <m:t>E</m:t>
                </m:r>
              </m:den>
            </m:f>
            <m:nary>
              <m:naryPr>
                <m:chr m:val="∑"/>
                <m:limLoc m:val="undOvr"/>
                <m:subHide m:val="off"/>
                <m:supHide m:val="off"/>
              </m:naryPr>
              <m:sub>
                <m:r>
                  <m:t>h</m:t>
                </m:r>
                <m:r>
                  <m:rPr>
                    <m:sty m:val="p"/>
                  </m:rPr>
                  <m:t>=</m:t>
                </m:r>
                <m:r>
                  <m:t>1</m:t>
                </m:r>
              </m:sub>
              <m:sup>
                <m:r>
                  <m:t>N</m:t>
                </m:r>
              </m:sup>
              <m:e>
                <m:sSubSup>
                  <m:e>
                    <m:r>
                      <m:t>d</m:t>
                    </m:r>
                  </m:e>
                  <m:sub>
                    <m:r>
                      <m:t>h</m:t>
                    </m:r>
                  </m:sub>
                  <m:sup>
                    <m:r>
                      <m:t>2</m:t>
                    </m:r>
                  </m:sup>
                </m:sSubSup>
              </m:e>
            </m:nary>
          </m:e>
        </m:rad>
      </m:oMath>
      <w:r>
        <w:tab/>
        <w:t xml:space="preserve">(7)</w:t>
      </w:r>
    </w:p>
    <w:p>
      <w:pPr>
        <w:pStyle w:val="BodyText"/>
        <w:jc w:val="both"/>
        <w:keepNext w:val="0"/>
        <w:keepLines w:val="0"/>
        <w:widowControl w:val="1"/>
      </w:pPr>
      <m:oMath>
        <m:r>
          <m:t>F</m:t>
        </m:r>
        <m:r>
          <m:rPr>
            <m:sty m:val="p"/>
          </m:rPr>
          <m:t>=</m:t>
        </m:r>
        <m:r>
          <m:t>0</m:t>
        </m:r>
      </m:oMath>
      <w:r>
        <w:t xml:space="preserve"> </w:t>
      </w:r>
      <w:r>
        <w:t xml:space="preserve">denotes no interior failures; larger values of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indicate more frequent or deeper</w:t>
      </w:r>
      <w:r>
        <w:t xml:space="preserve"> </w:t>
      </w:r>
      <w:r>
        <w:t xml:space="preserve">failures. Taken together, boundary-AUC quantifies the extent of the viewing-angle space over</w:t>
      </w:r>
      <w:r>
        <w:t xml:space="preserve"> </w:t>
      </w:r>
      <w:r>
        <w:t xml:space="preserve">which recovery succeeds, while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measures the frequency and depth of failure pockets within</w:t>
      </w:r>
      <w:r>
        <w:t xml:space="preserve"> </w:t>
      </w:r>
      <w:r>
        <w:t xml:space="preserve">the nominally recoverable region. A model with high AUC and low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covers a wide area</w:t>
      </w:r>
      <w:r>
        <w:t xml:space="preserve"> </w:t>
      </w:r>
      <w:r>
        <w:t xml:space="preserve">uniformly; a model with high AUC but also high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covers a wide area but behaves inconsistently;</w:t>
      </w:r>
      <w:r>
        <w:t xml:space="preserve"> </w:t>
      </w:r>
      <w:r>
        <w:t xml:space="preserve">a model with low AUC and low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covers less but fails predictably. OCR is used as the ground</w:t>
      </w:r>
      <w:r>
        <w:t xml:space="preserve"> </w:t>
      </w:r>
      <w:r>
        <w:t xml:space="preserve">truth for recoverability because it measures the downstream utility of the restored plate.</w:t>
      </w:r>
      <w:r>
        <w:t xml:space="preserve"> </w:t>
      </w:r>
      <w:r>
        <w:t xml:space="preserve">PSNR and SSIM are evaluated subsequently as candidate training-time surrogates for OCR</w:t>
      </w:r>
      <w:r>
        <w:t xml:space="preserve"> </w:t>
      </w:r>
      <w:r>
        <w:t xml:space="preserve">(Section 5.5).</w:t>
      </w:r>
    </w:p>
    <w:bookmarkEnd w:id="22"/>
    <w:bookmarkStart w:id="24" w:name="methodology"/>
    <w:p>
      <w:pPr>
        <w:pStyle w:val="Heading2"/>
        <w:keepNext/>
        <w:keepLines/>
        <w:widowControl w:val="1"/>
      </w:pPr>
      <w:r>
        <w:t xml:space="preserve">4. Methodology</w:t>
      </w:r>
    </w:p>
    <w:bookmarkStart w:id="23" w:name="synthetic-dataset-construction"/>
    <w:p>
      <w:pPr>
        <w:pStyle w:val="Heading3"/>
        <w:keepNext/>
        <w:keepLines/>
        <w:widowControl w:val="1"/>
      </w:pPr>
      <w:r>
        <w:t xml:space="preserve">4.1. Synthetic Dataset Construction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We generate clean license plate images by rendering random 6-digit numeric strings on a</w:t>
      </w:r>
      <w:r>
        <w:t xml:space="preserve"> </w:t>
      </w:r>
      <w:r>
        <w:t xml:space="preserve">yellow background using a single standard vehicle licence-plate font and dimensions, downscaled to</w:t>
      </w:r>
      <w:r>
        <w:t xml:space="preserve"> </w:t>
      </w:r>
      <m:oMath>
        <m:r>
          <m:t>256</m:t>
        </m:r>
        <m:r>
          <m:rPr>
            <m:sty m:val="p"/>
          </m:rPr>
          <m:t>×</m:t>
        </m:r>
        <m:r>
          <m:t>64</m:t>
        </m:r>
      </m:oMath>
      <w:r>
        <w:t xml:space="preserve"> </w:t>
      </w:r>
      <w:r>
        <w:t xml:space="preserve">pixels. Each plate is then distorted through a five-stage pipeline:</w:t>
      </w:r>
    </w:p>
    <w:p>
      <w:pPr>
        <w:pStyle w:val="Compact"/>
        <w:numPr>
          <w:ilvl w:val="0"/>
          <w:numId w:val="1002"/>
        </w:numPr>
        <w:jc w:val="both"/>
        <w:keepNext w:val="0"/>
        <w:keepLines w:val="0"/>
        <w:widowControl w:val="1"/>
      </w:pPr>
      <w:r>
        <w:rPr>
          <w:b/>
          <w:bCs/>
        </w:rPr>
        <w:t xml:space="preserve">Geometric warp:</w:t>
      </w:r>
      <w:r>
        <w:t xml:space="preserve"> </w:t>
      </w:r>
      <w:r>
        <w:t xml:space="preserve">homogeneous-coordinate rotation</w:t>
      </w:r>
      <w:r>
        <w:t xml:space="preserve"> </w:t>
      </w:r>
      <m:oMath>
        <m:r>
          <m:rPr>
            <m:sty m:val="bi"/>
          </m:rPr>
          <m:t>R</m:t>
        </m:r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</m:oMath>
      <w:r>
        <w:t xml:space="preserve"> </w:t>
      </w:r>
      <w:r>
        <w:t xml:space="preserve">followed by perspective projection</w:t>
      </w:r>
      <w:r>
        <w:t xml:space="preserve"> </w:t>
      </w:r>
      <m:oMath>
        <m:r>
          <m:rPr>
            <m:sty m:val="p"/>
          </m:rPr>
          <m:t>Π</m:t>
        </m:r>
      </m:oMath>
      <w:r>
        <w:t xml:space="preserve"> </w:t>
      </w:r>
      <w:r>
        <w:t xml:space="preserve">to produce a foreshortened plate (Eq. 1).</w:t>
      </w:r>
    </w:p>
    <w:p>
      <w:pPr>
        <w:pStyle w:val="Compact"/>
        <w:numPr>
          <w:ilvl w:val="0"/>
          <w:numId w:val="1002"/>
        </w:numPr>
        <w:jc w:val="both"/>
        <w:keepNext w:val="0"/>
        <w:keepLines w:val="0"/>
        <w:widowControl w:val="1"/>
      </w:pPr>
      <w:r>
        <w:rPr>
          <w:b/>
          <w:bCs/>
        </w:rPr>
        <w:t xml:space="preserve">Edge blending:</w:t>
      </w:r>
      <w:r>
        <w:t xml:space="preserve"> </w:t>
      </w:r>
      <w:r>
        <w:t xml:space="preserve">a soft alpha mask computed via a signed-distance field and logistic smoothing suppresses boundary artefacts introduced by the projection.</w:t>
      </w:r>
    </w:p>
    <w:p>
      <w:pPr>
        <w:pStyle w:val="Compact"/>
        <w:numPr>
          <w:ilvl w:val="0"/>
          <w:numId w:val="1002"/>
        </w:numPr>
        <w:jc w:val="both"/>
        <w:keepNext w:val="0"/>
        <w:keepLines w:val="0"/>
        <w:widowControl w:val="1"/>
      </w:pPr>
      <w:r>
        <w:rPr>
          <w:b/>
          <w:bCs/>
        </w:rPr>
        <w:t xml:space="preserve">Camera artefacts:</w:t>
      </w:r>
      <w:r>
        <w:t xml:space="preserve"> </w:t>
      </w:r>
      <w:r>
        <w:t xml:space="preserve">colour jitter (brightness, contrast, saturation), Gaussian blur (</w:t>
      </w:r>
      <m:oMath>
        <m:r>
          <m:t>σ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t>0.5</m:t>
        </m:r>
        <m:r>
          <m:rPr>
            <m:sty m:val="p"/>
          </m:rPr>
          <m:t>,</m:t>
        </m:r>
        <m:r>
          <m:t>1.5</m:t>
        </m:r>
        <m:r>
          <m:rPr>
            <m:sty m:val="p"/>
          </m:rPr>
          <m:t>]</m:t>
        </m:r>
      </m:oMath>
      <w:r>
        <w:t xml:space="preserve">), and JPEG compression (quality</w:t>
      </w:r>
      <w:r>
        <w:t xml:space="preserve"> </w:t>
      </w:r>
      <m:oMath>
        <m:r>
          <m:rPr>
            <m:sty m:val="p"/>
          </m:rPr>
          <m:t>∈</m:t>
        </m:r>
        <m:r>
          <m:rPr>
            <m:sty m:val="p"/>
          </m:rPr>
          <m:t>[</m:t>
        </m:r>
        <m:r>
          <m:t>55</m:t>
        </m:r>
        <m:r>
          <m:rPr>
            <m:sty m:val="p"/>
          </m:rPr>
          <m:t>,</m:t>
        </m:r>
        <m:r>
          <m:t>85</m:t>
        </m:r>
        <m:r>
          <m:rPr>
            <m:sty m:val="p"/>
          </m:rPr>
          <m:t>]</m:t>
        </m:r>
      </m:oMath>
      <w:r>
        <w:t xml:space="preserve">) simulate sensor noise and compression.</w:t>
      </w:r>
    </w:p>
    <w:p>
      <w:pPr>
        <w:pStyle w:val="Compact"/>
        <w:numPr>
          <w:ilvl w:val="0"/>
          <w:numId w:val="1002"/>
        </w:numPr>
        <w:jc w:val="both"/>
        <w:keepNext w:val="0"/>
        <w:keepLines w:val="0"/>
        <w:widowControl w:val="1"/>
      </w:pPr>
      <w:r>
        <w:rPr>
          <w:b/>
          <w:bCs/>
        </w:rPr>
        <w:t xml:space="preserve">De-warp and resize:</w:t>
      </w:r>
      <w:r>
        <w:t xml:space="preserve"> </w:t>
      </w:r>
      <w:r>
        <w:t xml:space="preserve">the distorted image is de-warped with the inverse homography and downscaled to</w:t>
      </w:r>
      <w:r>
        <w:t xml:space="preserve"> </w:t>
      </w:r>
      <m:oMath>
        <m:r>
          <m:t>256</m:t>
        </m:r>
        <m:r>
          <m:rPr>
            <m:sty m:val="p"/>
          </m:rPr>
          <m:t>×</m:t>
        </m:r>
        <m:r>
          <m:t>64</m:t>
        </m:r>
      </m:oMath>
      <w:r>
        <w:t xml:space="preserve"> </w:t>
      </w:r>
      <w:r>
        <w:t xml:space="preserve">pixels, matching the clean image resolution.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Angle pairs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</m:oMath>
      <w:r>
        <w:t xml:space="preserve"> </w:t>
      </w:r>
      <w:r>
        <w:t xml:space="preserve">are drawn from a parametric probability density function (PDF) over</w:t>
      </w:r>
      <w:r>
        <w:t xml:space="preserve"> </w:t>
      </w:r>
      <m:oMath>
        <m:r>
          <m:rPr>
            <m:sty m:val="p"/>
          </m:rPr>
          <m:t>[</m:t>
        </m:r>
        <m:r>
          <m:rPr>
            <m:sty m:val="p"/>
          </m:rPr>
          <m:t>−</m:t>
        </m:r>
        <m:sSup>
          <m:e>
            <m:r>
              <m:t>90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90</m:t>
            </m:r>
          </m:e>
          <m:sup>
            <m:r>
              <m:rPr>
                <m:sty m:val="p"/>
              </m:rPr>
              <m:t>∘</m:t>
            </m:r>
          </m:sup>
        </m:sSup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using Scrambled Sobol sequences</w:t>
      </w:r>
      <w:r>
        <w:t xml:space="preserve"> </w:t>
      </w:r>
      <w:r>
        <w:t xml:space="preserve">(</w:t>
      </w:r>
      <w:hyperlink w:anchor="r16">
        <w:r>
          <w:rPr>
            <w:rStyle w:val="Hyperlink"/>
          </w:rPr>
          <w:t xml:space="preserve">Joe &amp; Kuo, 2008</w:t>
        </w:r>
      </w:hyperlink>
      <w:r>
        <w:t xml:space="preserve">). This provides near-uniform coverage of the</w:t>
      </w:r>
      <w:r>
        <w:t xml:space="preserve"> </w:t>
      </w:r>
      <w:r>
        <w:t xml:space="preserve">angle space with far fewer samples than random sampling. We define two PDF variants: a</w:t>
      </w:r>
      <w:r>
        <w:t xml:space="preserve"> </w:t>
      </w:r>
      <w:r>
        <w:rPr>
          <w:i/>
          <w:iCs/>
        </w:rPr>
        <w:t xml:space="preserve">Standard</w:t>
      </w:r>
      <w:r>
        <w:t xml:space="preserve"> </w:t>
      </w:r>
      <w:r>
        <w:t xml:space="preserve">variant (DS-S) with moderate emphasis on extreme angles, and an</w:t>
      </w:r>
      <w:r>
        <w:t xml:space="preserve"> </w:t>
      </w:r>
      <w:r>
        <w:rPr>
          <w:i/>
          <w:iCs/>
        </w:rPr>
        <w:t xml:space="preserve">Extreme</w:t>
      </w:r>
      <w:r>
        <w:t xml:space="preserve"> </w:t>
      </w:r>
      <w:r>
        <w:t xml:space="preserve">variant (DS-E) with a heavier tail that concentrates more samples near oblique angles.</w:t>
      </w:r>
      <w:r>
        <w:t xml:space="preserve"> </w:t>
      </w:r>
      <w:r>
        <w:t xml:space="preserve">Two datasets are constructed (Table 1); Fig. 2 visualises their angle-density surfaces.</w:t>
      </w:r>
      <w:r>
        <w:t xml:space="preserve"> </w:t>
      </w:r>
      <w:r>
        <w:t xml:space="preserve">All datasets use an 80/10/10 train/validation/test split.</w:t>
      </w:r>
    </w:p>
    <w:bookmarkEnd w:id="23"/>
    <w:bookmarkEnd w:id="24"/>
    <w:p>
      <w:pPr>
        <w:pStyle w:val="TableCaption"/>
        <w:spacing w:before="160" w:after="60" w:line="240" w:lineRule="auto"/>
        <w:jc w:val="center"/>
        <w:keepNext/>
        <w:keepLines/>
        <w:widowControl w:val="1"/>
      </w:pPr>
      <w:r>
        <w:rPr>
          <w:b/>
          <w:bCs/>
        </w:rPr>
        <w:t xml:space="preserve">Table 1.</w:t>
      </w:r>
      <w:r>
        <w:t xml:space="preserve"> </w:t>
      </w:r>
      <w:r>
        <w:t xml:space="preserve">Dataset specifications. All datasets share the same distortion pipeline</w:t>
      </w:r>
      <w:r>
        <w:t xml:space="preserve"> </w:t>
      </w:r>
      <w:r>
        <w:t xml:space="preserve">and</w:t>
      </w:r>
      <w:r>
        <w:t xml:space="preserve"> </w:t>
      </w:r>
      <m:oMath>
        <m:r>
          <m:t>256</m:t>
        </m:r>
        <m:r>
          <m:rPr>
            <m:sty m:val="p"/>
          </m:rPr>
          <m:t>×</m:t>
        </m:r>
        <m:r>
          <m:t>64</m:t>
        </m:r>
      </m:oMath>
      <w:r>
        <w:t xml:space="preserve"> </w:t>
      </w:r>
      <w:r>
        <w:t xml:space="preserve">pixel resolution.</w:t>
      </w:r>
    </w:p>
    <w:tbl>
      <w:tblPr>
        <w:tblStyle w:val="Table"/>
        <w:tblW w:type="pct" w:w="5000"/>
        <w:jc w:val="center"/>
        <w:tblLook w:firstRow="1" w:lastRow="0" w:firstColumn="0" w:lastColumn="0" w:noHBand="0" w:noVBand="0" w:val="0020"/>
        <w:tblLayout w:type="autofit"/>
        <w:tblBorders>
          <w:top w:val="single" w:sz="10" w:color="4F6272"/>
          <w:bottom w:val="single" w:sz="10" w:color="4F6272"/>
          <w:insideH w:val="single" w:sz="5" w:color="9FB0C2"/>
          <w:left w:val="single" w:sz="6" w:color="9FB0C2"/>
          <w:right w:val="single" w:sz="6" w:color="9FB0C2"/>
          <w:insideV w:val="single" w:sz="5" w:color="D9E1E8"/>
        </w:tblBorders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on"/>
        </w:trPr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Dataset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Total pairs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Angle PDF variant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Train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Validation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Test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Standard (DS-S)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10,240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Moderate emphasis on extreme angles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8,192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1,024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1,024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Extreme (DS-E)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10,240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Strong emphasis on extreme angles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8,192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1,024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1,024</w:t>
            </w:r>
          </w:p>
        </w:tc>
      </w:tr>
    </w:tbl>
    <w:p>
      <w:pPr>
        <w:pStyle w:val="BodyText"/>
        <w:jc w:val="center"/>
        <w:keepNext/>
        <w:keepLines/>
        <w:widowControl w:val="1"/>
      </w:pPr>
      <w:r>
        <w:drawing>
          <wp:inline>
            <wp:extent cx="5943600" cy="2785477"/>
            <wp:effectExtent b="0" l="0" r="0" t="0"/>
            <wp:docPr descr="3D angle density surfaces for Standard and Extreme datasets" title="" id="26" name="Picture"/>
            <a:graphic>
              <a:graphicData uri="http://schemas.openxmlformats.org/drawingml/2006/picture">
                <pic:pic>
                  <pic:nvPicPr>
                    <pic:cNvPr descr="figures/generated/fig02_dataset_angle_distribution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54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Fig. 2.</w:t>
      </w:r>
      <w:r>
        <w:t xml:space="preserve"> </w:t>
      </w:r>
      <w:r>
        <w:t xml:space="preserve">Angle-pair sampling density for the two training datasets, plotted as 3D</w:t>
      </w:r>
      <w:r>
        <w:t xml:space="preserve"> </w:t>
      </w:r>
      <w:r>
        <w:t xml:space="preserve">surfaces over the</w:t>
      </w:r>
      <w:r>
        <w:t xml:space="preserve"> </w:t>
      </w:r>
      <m:oMath>
        <m:r>
          <m:rPr>
            <m:sty m:val="p"/>
          </m:rPr>
          <m:t>[</m:t>
        </m:r>
        <m:sSup>
          <m:e>
            <m:r>
              <m:t>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89</m:t>
            </m:r>
          </m:e>
          <m:sup>
            <m:r>
              <m:rPr>
                <m:sty m:val="p"/>
              </m:rPr>
              <m:t>∘</m:t>
            </m:r>
          </m:sup>
        </m:sSup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grid. Both datasets use Scrambled Sobol sequences for</w:t>
      </w:r>
      <w:r>
        <w:t xml:space="preserve"> </w:t>
      </w:r>
      <w:r>
        <w:t xml:space="preserve">near-uniform base coverage. The Standard dataset (left, DS-S) applies a moderate logistic-shaped</w:t>
      </w:r>
      <w:r>
        <w:t xml:space="preserve"> </w:t>
      </w:r>
      <w:r>
        <w:t xml:space="preserve">emphasis on large angles; the Extreme dataset (right, DS-E) concentrates substantially more mass</w:t>
      </w:r>
      <w:r>
        <w:t xml:space="preserve"> </w:t>
      </w:r>
      <w:r>
        <w:t xml:space="preserve">near the oblique-angle corners, providing harder training examples and a more</w:t>
      </w:r>
      <w:r>
        <w:t xml:space="preserve"> </w:t>
      </w:r>
      <w:r>
        <w:t xml:space="preserve">stringent test of each architecture's generalisation to extreme distortion.</w:t>
      </w:r>
    </w:p>
    <w:p>
      <w:pPr>
        <w:pStyle w:val="BodyText"/>
        <w:jc w:val="center"/>
        <w:keepNext/>
        <w:keepLines/>
        <w:widowControl w:val="1"/>
      </w:pPr>
      <w:r>
        <w:drawing>
          <wp:inline>
            <wp:extent cx="5943600" cy="2627784"/>
            <wp:effectExtent b="0" l="0" r="0" t="0"/>
            <wp:docPr descr="Synthetic data construction pipeline showing viewing geometry, warp, and artifacts" title="" id="29" name="Picture"/>
            <a:graphic>
              <a:graphicData uri="http://schemas.openxmlformats.org/drawingml/2006/picture">
                <pic:pic>
                  <pic:nvPicPr>
                    <pic:cNvPr descr="figures/generated/fig_synth_pipeline_panel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77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Fig. 3.</w:t>
      </w:r>
      <w:r>
        <w:t xml:space="preserve"> </w:t>
      </w:r>
      <w:r>
        <w:t xml:space="preserve">Synthetic training-data construction. (a) Viewing geometry:</w:t>
      </w:r>
      <w:r>
        <w:t xml:space="preserve"> </w:t>
      </w:r>
      <m:oMath>
        <m:r>
          <m:t>α</m:t>
        </m:r>
      </m:oMath>
      <w:r>
        <w:t xml:space="preserve"> </w:t>
      </w:r>
      <w:r>
        <w:t xml:space="preserve">is the azimuthal (lateral) rotation about the vertical axis,</w:t>
      </w:r>
      <w:r>
        <w:t xml:space="preserve"> </w:t>
      </w:r>
      <m:oMath>
        <m:r>
          <m:t>β</m:t>
        </m:r>
      </m:oMath>
      <w:r>
        <w:t xml:space="preserve"> </w:t>
      </w:r>
      <w:r>
        <w:t xml:space="preserve">the elevational</w:t>
      </w:r>
      <w:r>
        <w:t xml:space="preserve"> </w:t>
      </w:r>
      <w:r>
        <w:t xml:space="preserve">rotation about the horizontal axis. (b)–(e) Pipeline stages: a clean plate is subjected</w:t>
      </w:r>
      <w:r>
        <w:t xml:space="preserve"> </w:t>
      </w:r>
      <w:r>
        <w:t xml:space="preserve">to a 3D rotation</w:t>
      </w:r>
      <w:r>
        <w:t xml:space="preserve"> </w:t>
      </w:r>
      <m:oMath>
        <m:r>
          <m:t>R</m:t>
        </m:r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</m:oMath>
      <w:r>
        <w:t xml:space="preserve"> </w:t>
      </w:r>
      <w:r>
        <w:t xml:space="preserve">and perspective projection</w:t>
      </w:r>
      <w:r>
        <w:t xml:space="preserve"> </w:t>
      </w:r>
      <m:oMath>
        <m:r>
          <m:rPr>
            <m:sty m:val="p"/>
          </m:rPr>
          <m:t>Π</m:t>
        </m:r>
      </m:oMath>
      <w:r>
        <w:t xml:space="preserve">, then realistic camera</w:t>
      </w:r>
      <w:r>
        <w:t xml:space="preserve"> </w:t>
      </w:r>
      <w:r>
        <w:t xml:space="preserve">artifacts (blur, colour jitter, JPEG compression), and finally de-warped with</w:t>
      </w:r>
      <w:r>
        <w:t xml:space="preserve"> </w:t>
      </w:r>
      <m:oMath>
        <m:sSup>
          <m:e>
            <m:r>
              <m:t>R</m:t>
            </m:r>
          </m:e>
          <m:sup>
            <m:r>
              <m:rPr>
                <m:sty m:val="p"/>
              </m:rPr>
              <m:t>−</m:t>
            </m:r>
            <m:r>
              <m:t>1</m:t>
            </m:r>
          </m:sup>
        </m:sSup>
      </m:oMath>
      <w:r>
        <w:t xml:space="preserve"> </w:t>
      </w:r>
      <w:r>
        <w:t xml:space="preserve">and</w:t>
      </w:r>
      <w:r>
        <w:t xml:space="preserve"> </w:t>
      </w:r>
      <w:r>
        <w:t xml:space="preserve">resized to</w:t>
      </w:r>
      <w:r>
        <w:t xml:space="preserve"> </w:t>
      </w:r>
      <m:oMath>
        <m:r>
          <m:t>256</m:t>
        </m:r>
        <m:r>
          <m:rPr>
            <m:sty m:val="p"/>
          </m:rPr>
          <m:t>×</m:t>
        </m:r>
        <m:r>
          <m:t>64</m:t>
        </m:r>
      </m:oMath>
      <w:r>
        <w:t xml:space="preserve">. Each restoration network learns to invert this pipeline.</w:t>
      </w:r>
    </w:p>
    <w:bookmarkStart w:id="31" w:name="restoration-architectures"/>
    <w:p>
      <w:pPr>
        <w:pStyle w:val="Heading3"/>
        <w:keepNext/>
        <w:keepLines/>
        <w:widowControl w:val="1"/>
      </w:pPr>
      <w:r>
        <w:t xml:space="preserve">4.2. Restoration Architectures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Five architectures spanning discriminative and generative paradigms are implemented and compared</w:t>
      </w:r>
      <w:r>
        <w:t xml:space="preserve"> </w:t>
      </w:r>
      <w:r>
        <w:t xml:space="preserve">(Table 2). All models take the</w:t>
      </w:r>
      <w:r>
        <w:t xml:space="preserve"> </w:t>
      </w:r>
      <m:oMath>
        <m:r>
          <m:t>256</m:t>
        </m:r>
        <m:r>
          <m:rPr>
            <m:sty m:val="p"/>
          </m:rPr>
          <m:t>×</m:t>
        </m:r>
        <m:r>
          <m:t>64</m:t>
        </m:r>
      </m:oMath>
      <w:r>
        <w:t xml:space="preserve"> </w:t>
      </w:r>
      <w:r>
        <w:t xml:space="preserve">distorted image as input and produce a</w:t>
      </w:r>
      <w:r>
        <w:t xml:space="preserve"> </w:t>
      </w:r>
      <w:r>
        <w:t xml:space="preserve">same-resolution restored image.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The</w:t>
      </w:r>
      <w:r>
        <w:t xml:space="preserve"> </w:t>
      </w:r>
      <w:r>
        <w:rPr>
          <w:b/>
          <w:bCs/>
        </w:rPr>
        <w:t xml:space="preserve">U-Net baseline</w:t>
      </w:r>
      <w:r>
        <w:t xml:space="preserve"> </w:t>
      </w:r>
      <w:r>
        <w:t xml:space="preserve">uses a standard encoder-decoder with skip connections and an L1 + SSIM loss.</w:t>
      </w:r>
      <w:r>
        <w:t xml:space="preserve"> </w:t>
      </w:r>
      <w:r>
        <w:t xml:space="preserve">The</w:t>
      </w:r>
      <w:r>
        <w:t xml:space="preserve"> </w:t>
      </w:r>
      <w:r>
        <w:rPr>
          <w:b/>
          <w:bCs/>
        </w:rPr>
        <w:t xml:space="preserve">U-Net Conditional</w:t>
      </w:r>
      <w:r>
        <w:t xml:space="preserve"> </w:t>
      </w:r>
      <w:r>
        <w:t xml:space="preserve">extends this with FiLM (Feature-wise Linear Modulation) layers that inject</w:t>
      </w:r>
      <w:r>
        <w:t xml:space="preserve"> </w:t>
      </w:r>
      <w:r>
        <w:t xml:space="preserve">the distortion angles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</m:oMath>
      <w:r>
        <w:t xml:space="preserve"> </w:t>
      </w:r>
      <w:r>
        <w:t xml:space="preserve">into each residual block, providing explicit geometric context.</w:t>
      </w:r>
      <w:r>
        <w:t xml:space="preserve"> </w:t>
      </w:r>
      <w:r>
        <w:rPr>
          <w:b/>
          <w:bCs/>
        </w:rPr>
        <w:t xml:space="preserve">Restormer</w:t>
      </w:r>
      <w:r>
        <w:t xml:space="preserve"> </w:t>
      </w:r>
      <w:r>
        <w:t xml:space="preserve">(</w:t>
      </w:r>
      <w:hyperlink w:anchor="r2">
        <w:r>
          <w:rPr>
            <w:rStyle w:val="Hyperlink"/>
          </w:rPr>
          <w:t xml:space="preserve">Zamir et al., 2022</w:t>
        </w:r>
      </w:hyperlink>
      <w:r>
        <w:t xml:space="preserve">) replaces convolutional blocks with</w:t>
      </w:r>
      <w:r>
        <w:t xml:space="preserve"> </w:t>
      </w:r>
      <w:r>
        <w:t xml:space="preserve">multi-Dconv head transposed attention (MDTA) and gated feed-forward networks, enabling long-range</w:t>
      </w:r>
      <w:r>
        <w:t xml:space="preserve"> </w:t>
      </w:r>
      <w:r>
        <w:t xml:space="preserve">spatial modelling relevant to correcting directional foreshortening.</w:t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GAN-Pix2Pix</w:t>
      </w:r>
      <w:r>
        <w:t xml:space="preserve"> </w:t>
      </w:r>
      <w:r>
        <w:t xml:space="preserve">(</w:t>
      </w:r>
      <w:hyperlink w:anchor="r3">
        <w:r>
          <w:rPr>
            <w:rStyle w:val="Hyperlink"/>
          </w:rPr>
          <w:t xml:space="preserve">Isola et al., 2017</w:t>
        </w:r>
      </w:hyperlink>
      <w:r>
        <w:t xml:space="preserve">) adds a patch discriminator</w:t>
      </w:r>
      <w:r>
        <w:t xml:space="preserve"> </w:t>
      </w:r>
      <w:r>
        <w:t xml:space="preserve">to the U-Net generator, using a combined adversarial and L1 loss.</w:t>
      </w:r>
      <w:r>
        <w:t xml:space="preserve"> </w:t>
      </w:r>
      <w:r>
        <w:rPr>
          <w:b/>
          <w:bCs/>
        </w:rPr>
        <w:t xml:space="preserve">Diffusion-SR3</w:t>
      </w:r>
      <w:r>
        <w:t xml:space="preserve"> </w:t>
      </w:r>
      <w:r>
        <w:t xml:space="preserve">adapts the SR3</w:t>
      </w:r>
      <w:r>
        <w:t xml:space="preserve"> </w:t>
      </w:r>
      <w:r>
        <w:t xml:space="preserve">super-resolution diffusion framework (</w:t>
      </w:r>
      <w:hyperlink w:anchor="r4">
        <w:r>
          <w:rPr>
            <w:rStyle w:val="Hyperlink"/>
          </w:rPr>
          <w:t xml:space="preserve">Ho et al., 2020</w:t>
        </w:r>
      </w:hyperlink>
      <w:r>
        <w:t xml:space="preserve">) by conditioning</w:t>
      </w:r>
      <w:r>
        <w:t xml:space="preserve"> </w:t>
      </w:r>
      <w:r>
        <w:t xml:space="preserve">the denoising network on the distorted plate. We use velocity prediction rather than noise prediction</w:t>
      </w:r>
      <w:r>
        <w:t xml:space="preserve"> </w:t>
      </w:r>
      <w:r>
        <w:t xml:space="preserve">to stabilise training in the low-SNR uniform-colour regions of the plate: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r>
              <m:t>v</m:t>
            </m:r>
          </m:e>
          <m:sub>
            <m:r>
              <m:t>t</m:t>
            </m:r>
          </m:sub>
        </m:sSub>
        <m:r>
          <m:rPr>
            <m:sty m:val="p"/>
          </m:rPr>
          <m:t>=</m:t>
        </m:r>
        <m:rad>
          <m:radPr>
            <m:degHide m:val="on"/>
          </m:radPr>
          <m:deg/>
          <m:e>
            <m:sSub>
              <m:e>
                <m:acc>
                  <m:accPr>
                    <m:chr m:val="‾"/>
                  </m:accPr>
                  <m:e>
                    <m:r>
                      <m:t>α</m:t>
                    </m:r>
                  </m:e>
                </m:acc>
              </m:e>
              <m:sub>
                <m:r>
                  <m:t>t</m:t>
                </m:r>
              </m:sub>
            </m:sSub>
          </m:e>
        </m:rad>
        <m:r>
          <m:t> </m:t>
        </m:r>
        <m:r>
          <m:t>ϵ</m:t>
        </m:r>
        <m:r>
          <m:rPr>
            <m:sty m:val="p"/>
          </m:rPr>
          <m:t>−</m:t>
        </m:r>
        <m:rad>
          <m:radPr>
            <m:degHide m:val="on"/>
          </m:radPr>
          <m:deg/>
          <m:e>
            <m:r>
              <m:t>1</m:t>
            </m:r>
            <m:r>
              <m:rPr>
                <m:sty m:val="p"/>
              </m:rPr>
              <m:t>−</m:t>
            </m:r>
            <m:sSub>
              <m:e>
                <m:acc>
                  <m:accPr>
                    <m:chr m:val="‾"/>
                  </m:accPr>
                  <m:e>
                    <m:r>
                      <m:t>α</m:t>
                    </m:r>
                  </m:e>
                </m:acc>
              </m:e>
              <m:sub>
                <m:r>
                  <m:t>t</m:t>
                </m:r>
              </m:sub>
            </m:sSub>
          </m:e>
        </m:rad>
        <m:r>
          <m:t> </m:t>
        </m:r>
        <m:sSub>
          <m:e>
            <m:r>
              <m:t>x</m:t>
            </m:r>
          </m:e>
          <m:sub>
            <m:r>
              <m:t>0</m:t>
            </m:r>
          </m:sub>
        </m:sSub>
      </m:oMath>
      <w:r>
        <w:tab/>
        <w:t xml:space="preserve">(8)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where</w:t>
      </w:r>
      <w:r>
        <w:t xml:space="preserve"> </w:t>
      </w:r>
      <m:oMath>
        <m:sSub>
          <m:e>
            <m:acc>
              <m:accPr>
                <m:chr m:val="‾"/>
              </m:accPr>
              <m:e>
                <m:r>
                  <m:t>α</m:t>
                </m:r>
              </m:e>
            </m:acc>
          </m:e>
          <m:sub>
            <m:r>
              <m:t>t</m:t>
            </m:r>
          </m:sub>
        </m:sSub>
        <m:r>
          <m:rPr>
            <m:sty m:val="p"/>
          </m:rPr>
          <m:t>=</m:t>
        </m:r>
        <m:nary>
          <m:naryPr>
            <m:chr m:val="∏"/>
            <m:limLoc m:val="undOvr"/>
            <m:subHide m:val="off"/>
            <m:supHide m:val="off"/>
          </m:naryPr>
          <m:sub>
            <m:r>
              <m:t>i</m:t>
            </m:r>
            <m:r>
              <m:rPr>
                <m:sty m:val="p"/>
              </m:rPr>
              <m:t>=</m:t>
            </m:r>
            <m:r>
              <m:t>1</m:t>
            </m:r>
          </m:sub>
          <m:sup>
            <m:r>
              <m:t>t</m:t>
            </m:r>
          </m:sup>
          <m:e>
            <m:r>
              <m:rPr>
                <m:sty m:val="p"/>
              </m:rPr>
              <m:t>(</m:t>
            </m:r>
          </m:e>
        </m:nary>
        <m:r>
          <m:t>1</m:t>
        </m:r>
        <m:r>
          <m:rPr>
            <m:sty m:val="p"/>
          </m:rPr>
          <m:t>−</m:t>
        </m:r>
        <m:sSub>
          <m:e>
            <m:r>
              <m:t>β</m:t>
            </m:r>
          </m:e>
          <m:sub>
            <m:r>
              <m:t>i</m:t>
            </m:r>
          </m:sub>
        </m:sSub>
        <m:r>
          <m:rPr>
            <m:sty m:val="p"/>
          </m:rPr>
          <m:t>)</m:t>
        </m:r>
      </m:oMath>
      <w:r>
        <w:t xml:space="preserve"> </w:t>
      </w:r>
      <w:r>
        <w:t xml:space="preserve">is the cumulative signal coefficient and</w:t>
      </w:r>
      <w:r>
        <w:t xml:space="preserve"> </w:t>
      </w:r>
      <m:oMath>
        <m:r>
          <m:t>ϵ</m:t>
        </m:r>
        <m:r>
          <m:rPr>
            <m:sty m:val="p"/>
          </m:rPr>
          <m:t>∼</m:t>
        </m:r>
        <m:r>
          <m:rPr>
            <m:scr m:val="script"/>
            <m:sty m:val="p"/>
          </m:rPr>
          <m:t>N</m:t>
        </m:r>
        <m:r>
          <m:rPr>
            <m:sty m:val="p"/>
          </m:rPr>
          <m:t>(</m:t>
        </m:r>
        <m:r>
          <m:t>0</m:t>
        </m:r>
        <m:r>
          <m:rPr>
            <m:sty m:val="p"/>
          </m:rPr>
          <m:t>,</m:t>
        </m:r>
        <m:r>
          <m:t>I</m:t>
        </m:r>
        <m:r>
          <m:rPr>
            <m:sty m:val="p"/>
          </m:rPr>
          <m:t>)</m:t>
        </m:r>
      </m:oMath>
      <w:r>
        <w:t xml:space="preserve">. At inference, deterministic DDIM sampling</w:t>
      </w:r>
      <w:r>
        <w:t xml:space="preserve"> </w:t>
      </w:r>
      <w:r>
        <w:t xml:space="preserve">(</w:t>
      </w:r>
      <w:hyperlink w:anchor="r5">
        <w:r>
          <w:rPr>
            <w:rStyle w:val="Hyperlink"/>
          </w:rPr>
          <w:t xml:space="preserve">Song et al., 2020</w:t>
        </w:r>
      </w:hyperlink>
      <w:r>
        <w:t xml:space="preserve">) with 20 steps is used.</w:t>
      </w:r>
    </w:p>
    <w:bookmarkEnd w:id="31"/>
    <w:p>
      <w:pPr>
        <w:pStyle w:val="TableCaption"/>
        <w:spacing w:before="160" w:after="60" w:line="240" w:lineRule="auto"/>
        <w:jc w:val="center"/>
        <w:keepNext/>
        <w:keepLines/>
        <w:widowControl w:val="1"/>
      </w:pPr>
      <w:r>
        <w:rPr>
          <w:b/>
          <w:bCs/>
        </w:rPr>
        <w:t xml:space="preserve">Table 2.</w:t>
      </w:r>
      <w:r>
        <w:t xml:space="preserve"> </w:t>
      </w:r>
      <w:r>
        <w:t xml:space="preserve">Restoration architecture overview. Parameters reported for the</w:t>
      </w:r>
      <w:r>
        <w:t xml:space="preserve"> </w:t>
      </w:r>
      <w:r>
        <w:t xml:space="preserve">specific configuration used in this study; all models accept</w:t>
      </w:r>
      <w:r>
        <w:t xml:space="preserve"> </w:t>
      </w:r>
      <m:oMath>
        <m:r>
          <m:t>256</m:t>
        </m:r>
        <m:r>
          <m:rPr>
            <m:sty m:val="p"/>
          </m:rPr>
          <m:t>×</m:t>
        </m:r>
        <m:r>
          <m:t>64</m:t>
        </m:r>
      </m:oMath>
      <w:r>
        <w:t xml:space="preserve"> </w:t>
      </w:r>
      <w:r>
        <w:t xml:space="preserve">RGB input and</w:t>
      </w:r>
      <w:r>
        <w:t xml:space="preserve"> </w:t>
      </w:r>
      <w:r>
        <w:t xml:space="preserve">produce a same-resolution restored output. Optimiser, base learning rate, and epoch count</w:t>
      </w:r>
      <w:r>
        <w:t xml:space="preserve"> </w:t>
      </w:r>
      <w:r>
        <w:t xml:space="preserve">are the settings used in the reported experiments.</w:t>
      </w:r>
    </w:p>
    <w:tbl>
      <w:tblPr>
        <w:tblStyle w:val="Table"/>
        <w:tblW w:type="pct" w:w="5000"/>
        <w:jc w:val="center"/>
        <w:tblLook w:firstRow="1" w:lastRow="0" w:firstColumn="0" w:lastColumn="0" w:noHBand="0" w:noVBand="0" w:val="0020"/>
        <w:tblLayout w:type="autofit"/>
        <w:tblBorders>
          <w:top w:val="single" w:sz="10" w:color="4F6272"/>
          <w:bottom w:val="single" w:sz="10" w:color="4F6272"/>
          <w:insideH w:val="single" w:sz="5" w:color="9FB0C2"/>
          <w:left w:val="single" w:sz="6" w:color="9FB0C2"/>
          <w:right w:val="single" w:sz="6" w:color="9FB0C2"/>
          <w:insideV w:val="single" w:sz="5" w:color="D9E1E8"/>
        </w:tblBorders>
      </w:tblPr>
      <w:tblGrid>
        <w:gridCol w:w="990"/>
        <w:gridCol w:w="990"/>
        <w:gridCol w:w="990"/>
        <w:gridCol w:w="990"/>
        <w:gridCol w:w="990"/>
        <w:gridCol w:w="990"/>
        <w:gridCol w:w="990"/>
        <w:gridCol w:w="990"/>
      </w:tblGrid>
      <w:tr>
        <w:trPr>
          <w:tblHeader w:val="on"/>
        </w:trPr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Model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Type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Key feature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Loss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Params (M)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Optimiser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Base LR</w:t>
            </w:r>
          </w:p>
        </w:tc>
        <w:tc>
          <w:tcPr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Epochs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U-Net (baseline)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Discriminative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Skip connections, encoder-decoder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L1 + SSIM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rPr>
                  <m:sty m:val="p"/>
                </m:rPr>
                <m:t>≈</m:t>
              </m:r>
              <m:r>
                <m:t>7.8</m:t>
              </m:r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AdamW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t>1</m:t>
              </m:r>
              <m:r>
                <m:t>​</m:t>
              </m:r>
              <m:r>
                <m:rPr>
                  <m:sty m:val="p"/>
                </m:rPr>
                <m:t>×</m:t>
              </m:r>
              <m:r>
                <m:t>​</m:t>
              </m:r>
              <m:sSup>
                <m:e>
                  <m:r>
                    <m:t>10</m:t>
                  </m:r>
                </m:e>
                <m:sup>
                  <m:r>
                    <m:rPr>
                      <m:sty m:val="p"/>
                    </m:rPr>
                    <m:t>−</m:t>
                  </m:r>
                  <m:r>
                    <m:t>4</m:t>
                  </m:r>
                </m:sup>
              </m:sSup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120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U-Net Conditional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Discriminative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FiLM conditioning on (</w:t>
            </w:r>
            <m:oMath>
              <m:r>
                <m:t>α</m:t>
              </m:r>
            </m:oMath>
            <w:r>
              <w:rPr>
                <w:rFonts w:ascii="Times New Roman" w:hAnsi="Times New Roman"/>
                <w:sz w:val="20"/>
              </w:rPr>
              <w:t xml:space="preserve">,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m:oMath>
              <m:r>
                <m:t>β</m:t>
              </m:r>
            </m:oMath>
            <w:r>
              <w:rPr>
                <w:rFonts w:ascii="Times New Roman" w:hAnsi="Times New Roman"/>
                <w:sz w:val="20"/>
              </w:rPr>
              <w:t xml:space="preserve">)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L1 + SSIM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rPr>
                  <m:sty m:val="p"/>
                </m:rPr>
                <m:t>≈</m:t>
              </m:r>
              <m:r>
                <m:t>7.9</m:t>
              </m:r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AdamW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t>1</m:t>
              </m:r>
              <m:r>
                <m:t>​</m:t>
              </m:r>
              <m:r>
                <m:rPr>
                  <m:sty m:val="p"/>
                </m:rPr>
                <m:t>×</m:t>
              </m:r>
              <m:r>
                <m:t>​</m:t>
              </m:r>
              <m:sSup>
                <m:e>
                  <m:r>
                    <m:t>10</m:t>
                  </m:r>
                </m:e>
                <m:sup>
                  <m:r>
                    <m:rPr>
                      <m:sty m:val="p"/>
                    </m:rPr>
                    <m:t>−</m:t>
                  </m:r>
                  <m:r>
                    <m:t>4</m:t>
                  </m:r>
                </m:sup>
              </m:sSup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120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Restormer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Discriminative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MDTA transformer, global context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L1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rPr>
                  <m:sty m:val="p"/>
                </m:rPr>
                <m:t>≈</m:t>
              </m:r>
              <m:r>
                <m:t>26.1</m:t>
              </m:r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AdamW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t>3</m:t>
              </m:r>
              <m:r>
                <m:t>​</m:t>
              </m:r>
              <m:r>
                <m:rPr>
                  <m:sty m:val="p"/>
                </m:rPr>
                <m:t>×</m:t>
              </m:r>
              <m:r>
                <m:t>​</m:t>
              </m:r>
              <m:sSup>
                <m:e>
                  <m:r>
                    <m:t>10</m:t>
                  </m:r>
                </m:e>
                <m:sup>
                  <m:r>
                    <m:rPr>
                      <m:sty m:val="p"/>
                    </m:rPr>
                    <m:t>−</m:t>
                  </m:r>
                  <m:r>
                    <m:t>4</m:t>
                  </m:r>
                </m:sup>
              </m:sSup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150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GAN-Pix2Pix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Generative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Patch discriminator, adversarial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Adversarial + L1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rPr>
                  <m:sty m:val="p"/>
                </m:rPr>
                <m:t>≈</m:t>
              </m:r>
              <m:r>
                <m:t>57.0</m:t>
              </m:r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Adam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t>2</m:t>
              </m:r>
              <m:r>
                <m:t>​</m:t>
              </m:r>
              <m:r>
                <m:rPr>
                  <m:sty m:val="p"/>
                </m:rPr>
                <m:t>×</m:t>
              </m:r>
              <m:r>
                <m:t>​</m:t>
              </m:r>
              <m:sSup>
                <m:e>
                  <m:r>
                    <m:t>10</m:t>
                  </m:r>
                </m:e>
                <m:sup>
                  <m:r>
                    <m:rPr>
                      <m:sty m:val="p"/>
                    </m:rPr>
                    <m:t>−</m:t>
                  </m:r>
                  <m:r>
                    <m:t>4</m:t>
                  </m:r>
                </m:sup>
              </m:sSup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200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Diffusion-SR3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Generative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Velocity prediction, DDIM (20 steps)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Velocity MSE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rPr>
                  <m:sty m:val="p"/>
                </m:rPr>
                <m:t>≈</m:t>
              </m:r>
              <m:r>
                <m:t>34.7</m:t>
              </m:r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Adam + warm-up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m:oMath>
              <m:r>
                <m:t>2</m:t>
              </m:r>
              <m:r>
                <m:t>​</m:t>
              </m:r>
              <m:r>
                <m:rPr>
                  <m:sty m:val="p"/>
                </m:rPr>
                <m:t>×</m:t>
              </m:r>
              <m:r>
                <m:t>​</m:t>
              </m:r>
              <m:sSup>
                <m:e>
                  <m:r>
                    <m:t>10</m:t>
                  </m:r>
                </m:e>
                <m:sup>
                  <m:r>
                    <m:rPr>
                      <m:sty m:val="p"/>
                    </m:rPr>
                    <m:t>−</m:t>
                  </m:r>
                  <m:r>
                    <m:t>4</m:t>
                  </m:r>
                </m:sup>
              </m:sSup>
            </m:oMath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600k steps</w:t>
            </w:r>
          </w:p>
        </w:tc>
      </w:tr>
    </w:tbl>
    <w:bookmarkStart w:id="32" w:name="training-protocol"/>
    <w:p>
      <w:pPr>
        <w:pStyle w:val="Heading3"/>
        <w:keepNext/>
        <w:keepLines/>
        <w:widowControl w:val="1"/>
      </w:pPr>
      <w:r>
        <w:t xml:space="preserve">4.3. Training Protocol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All models are trained on a single NVIDIA RTX 3090 (24 GB) GPU. Each model is trained independently</w:t>
      </w:r>
      <w:r>
        <w:t xml:space="preserve"> </w:t>
      </w:r>
      <w:r>
        <w:t xml:space="preserve">on both datasets (Standard and Extreme), yielding ten model-dataset pairs. The per-model</w:t>
      </w:r>
      <w:r>
        <w:t xml:space="preserve"> </w:t>
      </w:r>
      <w:r>
        <w:t xml:space="preserve">configuration is summarised in Table 2. Batch size is</w:t>
      </w:r>
      <w:r>
        <w:t xml:space="preserve"> </w:t>
      </w:r>
      <m:oMath>
        <m:r>
          <m:t>32</m:t>
        </m:r>
      </m:oMath>
      <w:r>
        <w:t xml:space="preserve"> </w:t>
      </w:r>
      <w:r>
        <w:t xml:space="preserve">for the three discriminative</w:t>
      </w:r>
      <w:r>
        <w:t xml:space="preserve"> </w:t>
      </w:r>
      <w:r>
        <w:t xml:space="preserve">models,</w:t>
      </w:r>
      <w:r>
        <w:t xml:space="preserve"> </w:t>
      </w:r>
      <m:oMath>
        <m:r>
          <m:t>16</m:t>
        </m:r>
      </m:oMath>
      <w:r>
        <w:t xml:space="preserve"> </w:t>
      </w:r>
      <w:r>
        <w:t xml:space="preserve">for GAN-Pix2Pix (generator plus discriminator), and</w:t>
      </w:r>
      <w:r>
        <w:t xml:space="preserve"> </w:t>
      </w:r>
      <m:oMath>
        <m:r>
          <m:t>16</m:t>
        </m:r>
      </m:oMath>
      <w:r>
        <w:t xml:space="preserve"> </w:t>
      </w:r>
      <w:r>
        <w:t xml:space="preserve">for Diffusion-SR3.</w:t>
      </w:r>
      <w:r>
        <w:t xml:space="preserve"> </w:t>
      </w:r>
      <w:r>
        <w:t xml:space="preserve">Discriminative models (U-Net, U-Net Conditional, Restormer) use the AdamW optimiser with weight</w:t>
      </w:r>
      <w:r>
        <w:t xml:space="preserve"> </w:t>
      </w:r>
      <w:r>
        <w:t xml:space="preserve">decay</w:t>
      </w:r>
      <w:r>
        <w:t xml:space="preserve"> </w:t>
      </w:r>
      <m:oMath>
        <m:sSup>
          <m:e>
            <m:r>
              <m:t>10</m:t>
            </m:r>
          </m:e>
          <m:sup>
            <m:r>
              <m:rPr>
                <m:sty m:val="p"/>
              </m:rPr>
              <m:t>−</m:t>
            </m:r>
            <m:r>
              <m:t>2</m:t>
            </m:r>
          </m:sup>
        </m:sSup>
      </m:oMath>
      <w:r>
        <w:t xml:space="preserve"> </w:t>
      </w:r>
      <w:r>
        <w:t xml:space="preserve">and a cosine-annealing learning-rate schedule decaying to</w:t>
      </w:r>
      <w:r>
        <w:t xml:space="preserve"> </w:t>
      </w:r>
      <m:oMath>
        <m:sSup>
          <m:e>
            <m:r>
              <m:t>10</m:t>
            </m:r>
          </m:e>
          <m:sup>
            <m:r>
              <m:rPr>
                <m:sty m:val="p"/>
              </m:rPr>
              <m:t>−</m:t>
            </m:r>
            <m:r>
              <m:t>6</m:t>
            </m:r>
          </m:sup>
        </m:sSup>
      </m:oMath>
      <w:r>
        <w:t xml:space="preserve"> </w:t>
      </w:r>
      <w:r>
        <w:t xml:space="preserve">over the full</w:t>
      </w:r>
      <w:r>
        <w:t xml:space="preserve"> </w:t>
      </w:r>
      <w:r>
        <w:t xml:space="preserve">training horizon. GAN-Pix2Pix uses Adam (</w:t>
      </w:r>
      <m:oMath>
        <m:sSub>
          <m:e>
            <m:r>
              <m:t>β</m:t>
            </m:r>
          </m:e>
          <m:sub>
            <m:r>
              <m:t>1</m:t>
            </m:r>
          </m:sub>
        </m:sSub>
        <m:r>
          <m:rPr>
            <m:sty m:val="p"/>
          </m:rPr>
          <m:t>=</m:t>
        </m:r>
        <m:r>
          <m:t>0.5</m:t>
        </m:r>
      </m:oMath>
      <w:r>
        <w:t xml:space="preserve">,</w:t>
      </w:r>
      <w:r>
        <w:t xml:space="preserve"> </w:t>
      </w:r>
      <m:oMath>
        <m:sSub>
          <m:e>
            <m:r>
              <m:t>β</m:t>
            </m:r>
          </m:e>
          <m:sub>
            <m:r>
              <m:t>2</m:t>
            </m:r>
          </m:sub>
        </m:sSub>
        <m:r>
          <m:rPr>
            <m:sty m:val="p"/>
          </m:rPr>
          <m:t>=</m:t>
        </m:r>
        <m:r>
          <m:t>0.999</m:t>
        </m:r>
      </m:oMath>
      <w:r>
        <w:t xml:space="preserve">) with a fixed learning</w:t>
      </w:r>
      <w:r>
        <w:t xml:space="preserve"> </w:t>
      </w:r>
      <w:r>
        <w:t xml:space="preserve">rate and alternates generator and discriminator updates every step. Diffusion-SR3 uses Adam with a</w:t>
      </w:r>
      <w:r>
        <w:t xml:space="preserve"> </w:t>
      </w:r>
      <w:r>
        <w:t xml:space="preserve">5000-step linear warm-up followed by constant learning rate, and is trained for a fixed step budget</w:t>
      </w:r>
      <w:r>
        <w:t xml:space="preserve"> </w:t>
      </w:r>
      <w:r>
        <w:t xml:space="preserve">rather than an epoch count because of its multi-step denoising objective; inference uses</w:t>
      </w:r>
      <w:r>
        <w:t xml:space="preserve"> </w:t>
      </w:r>
      <w:r>
        <w:t xml:space="preserve">deterministic DDIM sampling with 20 steps. Model selection uses the validation-split PSNR and SSIM</w:t>
      </w:r>
      <w:r>
        <w:t xml:space="preserve"> </w:t>
      </w:r>
      <w:r>
        <w:t xml:space="preserve">as surrogates for OCR: the checkpoint achieving the highest PSNR on the held-out validation set is</w:t>
      </w:r>
      <w:r>
        <w:t xml:space="preserve"> </w:t>
      </w:r>
      <w:r>
        <w:t xml:space="preserve">retained for the final full-grid evaluation. Data augmentation is limited to the angle-sampling</w:t>
      </w:r>
      <w:r>
        <w:t xml:space="preserve"> </w:t>
      </w:r>
      <w:r>
        <w:t xml:space="preserve">distribution itself (Section 4.1); no photometric augmentation is applied beyond the camera</w:t>
      </w:r>
      <w:r>
        <w:t xml:space="preserve"> </w:t>
      </w:r>
      <w:r>
        <w:t xml:space="preserve">artefacts baked into the construction pipeline. Typical wall-clock training time per</w:t>
      </w:r>
      <w:r>
        <w:t xml:space="preserve"> </w:t>
      </w:r>
      <w:r>
        <w:t xml:space="preserve">model-dataset pair is 3-5 h for U-Net variants, 35-45 h for Restormer, 4-6 h for</w:t>
      </w:r>
      <w:r>
        <w:t xml:space="preserve"> </w:t>
      </w:r>
      <w:r>
        <w:t xml:space="preserve">GAN-Pix2Pix, and 12-18 h for Diffusion-SR3.</w:t>
      </w:r>
    </w:p>
    <w:bookmarkEnd w:id="32"/>
    <w:bookmarkStart w:id="33" w:name="full-grid-evaluation"/>
    <w:p>
      <w:pPr>
        <w:pStyle w:val="Heading3"/>
        <w:keepNext/>
        <w:keepLines/>
        <w:widowControl w:val="1"/>
      </w:pPr>
      <w:r>
        <w:t xml:space="preserve">4.4. Full-Grid Evaluation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A single shared evaluation set covers all integer angle pairs in</w:t>
      </w:r>
      <w:r>
        <w:t xml:space="preserve"> </w:t>
      </w:r>
      <m:oMath>
        <m:r>
          <m:rPr>
            <m:sty m:val="p"/>
          </m:rPr>
          <m:t>[</m:t>
        </m:r>
        <m:r>
          <m:t>0</m:t>
        </m:r>
        <m:r>
          <m:rPr>
            <m:sty m:val="p"/>
          </m:rPr>
          <m:t>,</m:t>
        </m:r>
        <m:r>
          <m:t>89</m:t>
        </m:r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(8,100 pairs).</w:t>
      </w:r>
      <w:r>
        <w:t xml:space="preserve"> </w:t>
      </w:r>
      <w:r>
        <w:t xml:space="preserve">Sampling density is 2 images per pair where</w:t>
      </w:r>
      <w:r>
        <w:t xml:space="preserve"> </w:t>
      </w:r>
      <m:oMath>
        <m:r>
          <m:t>α</m:t>
        </m:r>
        <m:r>
          <m:rPr>
            <m:sty m:val="p"/>
          </m:rPr>
          <m:t>≤</m:t>
        </m:r>
        <m:r>
          <m:t>60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β</m:t>
        </m:r>
        <m:r>
          <m:rPr>
            <m:sty m:val="p"/>
          </m:rPr>
          <m:t>≤</m:t>
        </m:r>
        <m:r>
          <m:t>60</m:t>
        </m:r>
      </m:oMath>
      <w:r>
        <w:t xml:space="preserve"> </w:t>
      </w:r>
      <w:r>
        <w:t xml:space="preserve">(easy region),</w:t>
      </w:r>
      <w:r>
        <w:t xml:space="preserve"> </w:t>
      </w:r>
      <w:r>
        <w:t xml:space="preserve">and 10 images per pair in the complementary high-distortion region (</w:t>
      </w:r>
      <m:oMath>
        <m:r>
          <m:t>α</m:t>
        </m:r>
        <m:r>
          <m:rPr>
            <m:sty m:val="p"/>
          </m:rPr>
          <m:t>&gt;</m:t>
        </m:r>
        <m:r>
          <m:t>60</m:t>
        </m:r>
      </m:oMath>
      <w:r>
        <w:t xml:space="preserve"> </w:t>
      </w:r>
      <w:r>
        <w:t xml:space="preserve">or</w:t>
      </w:r>
      <w:r>
        <w:t xml:space="preserve"> </w:t>
      </w:r>
      <m:oMath>
        <m:r>
          <m:t>β</m:t>
        </m:r>
        <m:r>
          <m:rPr>
            <m:sty m:val="p"/>
          </m:rPr>
          <m:t>&gt;</m:t>
        </m:r>
        <m:r>
          <m:t>60</m:t>
        </m:r>
      </m:oMath>
      <w:r>
        <w:t xml:space="preserve">).</w:t>
      </w:r>
      <w:r>
        <w:t xml:space="preserve"> </w:t>
      </w:r>
      <w:r>
        <w:t xml:space="preserve">Six metrics are recorded per pair: plate-level PSNR and SSIM, worst-digit PSNR and SSIM,</w:t>
      </w:r>
      <w:r>
        <w:t xml:space="preserve"> </w:t>
      </w:r>
      <w:r>
        <w:t xml:space="preserve">digit-level OCR accuracy, and plate-level OCR accuracy. The latter is the primary metric.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PSNR is computed as: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r>
          <m:rPr>
            <m:nor/>
            <m:sty m:val="p"/>
          </m:rPr>
          <m:t>PSNR</m:t>
        </m:r>
        <m:r>
          <m:rPr>
            <m:sty m:val="p"/>
          </m:rPr>
          <m:t>=</m:t>
        </m:r>
        <m:r>
          <m:t>10</m:t>
        </m:r>
        <m:sSub>
          <m:e>
            <m:r>
              <m:rPr>
                <m:sty m:val="p"/>
              </m:rPr>
              <m:t>log</m:t>
            </m:r>
          </m:e>
          <m:sub>
            <m:r>
              <m:t>10</m:t>
            </m:r>
          </m:sub>
        </m:sSub>
        <m:r>
          <m:t>​</m:t>
        </m:r>
        <m:d>
          <m:dPr>
            <m:begChr m:val="("/>
            <m:sepChr m:val=""/>
            <m:endChr m:val=")"/>
            <m:grow/>
          </m:dPr>
          <m:e>
            <m:f>
              <m:fPr>
                <m:type m:val="bar"/>
              </m:fPr>
              <m:num>
                <m:sSup>
                  <m:e>
                    <m:r>
                      <m:rPr>
                        <m:nor/>
                        <m:sty m:val="p"/>
                      </m:rPr>
                      <m:t>MAX</m:t>
                    </m:r>
                  </m:e>
                  <m:sup>
                    <m:r>
                      <m:t>2</m:t>
                    </m:r>
                  </m:sup>
                </m:sSup>
              </m:num>
              <m:den>
                <m:r>
                  <m:rPr>
                    <m:nor/>
                    <m:sty m:val="p"/>
                  </m:rPr>
                  <m:t>MSE</m:t>
                </m:r>
              </m:den>
            </m:f>
          </m:e>
        </m:d>
      </m:oMath>
      <w:r>
        <w:tab/>
        <w:t xml:space="preserve">(9)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OCR is performed by Tesseract v4 (LSTM mode, digit-only filter). Each restored image is converted</w:t>
      </w:r>
      <w:r>
        <w:t xml:space="preserve"> </w:t>
      </w:r>
      <w:r>
        <w:t xml:space="preserve">to grayscale, contrast-normalised, upscaled 2x, and binarised. A multi-strategy fallback (Otsu,</w:t>
      </w:r>
      <w:r>
        <w:t xml:space="preserve"> </w:t>
      </w:r>
      <w:r>
        <w:t xml:space="preserve">adaptive threshold, colour inversion) is applied per digit if the primary recognition fails. The</w:t>
      </w:r>
      <w:r>
        <w:t xml:space="preserve"> </w:t>
      </w:r>
      <w:r>
        <w:t xml:space="preserve">final recognised string is compared to the ground truth to compute digit-level and plate-level</w:t>
      </w:r>
      <w:r>
        <w:t xml:space="preserve"> </w:t>
      </w:r>
      <w:r>
        <w:t xml:space="preserve">accuracy.</w:t>
      </w:r>
    </w:p>
    <w:bookmarkEnd w:id="33"/>
    <w:bookmarkStart w:id="35" w:name="results"/>
    <w:p>
      <w:pPr>
        <w:pStyle w:val="Heading2"/>
        <w:keepNext/>
        <w:keepLines/>
        <w:widowControl w:val="1"/>
      </w:pPr>
      <w:r>
        <w:t xml:space="preserve">5. Results</w:t>
      </w:r>
    </w:p>
    <w:bookmarkStart w:id="34" w:name="Xa543b7ca35094503b45cc2fa0c43b28067b8ba9"/>
    <w:p>
      <w:pPr>
        <w:pStyle w:val="Heading3"/>
        <w:keepNext/>
        <w:keepLines/>
        <w:widowControl w:val="1"/>
      </w:pPr>
      <w:r>
        <w:t xml:space="preserve">5.1. Training Performance on Dataset Test Splits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Table 3 reports PSNR, SSIM, normalised training time, and inference latency for each</w:t>
      </w:r>
      <w:r>
        <w:t xml:space="preserve"> </w:t>
      </w:r>
      <w:r>
        <w:t xml:space="preserve">model-dataset pair. Restormer achieves the highest PSNR and SSIM on both datasets.</w:t>
      </w:r>
      <w:r>
        <w:t xml:space="preserve"> </w:t>
      </w:r>
      <w:r>
        <w:t xml:space="preserve">Diffusion-SR3 consistently underperforms, particularly on SSIM, where it lags the U-Net baseline</w:t>
      </w:r>
      <w:r>
        <w:t xml:space="preserve"> </w:t>
      </w:r>
      <w:r>
        <w:t xml:space="preserve">by</w:t>
      </w:r>
      <w:r>
        <w:t xml:space="preserve"> </w:t>
      </w:r>
      <m:oMath>
        <m:r>
          <m:t>3.9</m:t>
        </m:r>
      </m:oMath>
      <w:r>
        <w:t xml:space="preserve">–</w:t>
      </w:r>
      <m:oMath>
        <m:r>
          <m:t>4.1</m:t>
        </m:r>
      </m:oMath>
      <w:r>
        <w:t xml:space="preserve"> </w:t>
      </w:r>
      <w:r>
        <w:t xml:space="preserve">percentage points.</w:t>
      </w:r>
    </w:p>
    <w:bookmarkEnd w:id="34"/>
    <w:bookmarkEnd w:id="35"/>
    <w:p>
      <w:pPr>
        <w:pStyle w:val="TableCaption"/>
        <w:spacing w:before="160" w:after="60" w:line="240" w:lineRule="auto"/>
        <w:jc w:val="center"/>
        <w:keepNext/>
        <w:keepLines/>
        <w:widowControl w:val="1"/>
      </w:pPr>
      <w:r>
        <w:rPr>
          <w:b/>
          <w:bCs/>
        </w:rPr>
        <w:t xml:space="preserve">Table 3.</w:t>
      </w:r>
      <w:r>
        <w:t xml:space="preserve"> </w:t>
      </w:r>
      <w:r>
        <w:t xml:space="preserve">Test-split PSNR (dB), SSIM, normalised training time (U-Net = 1.00),</w:t>
      </w:r>
      <w:r>
        <w:t xml:space="preserve"> </w:t>
      </w:r>
      <w:r>
        <w:t xml:space="preserve">and inference latency (ms) per model and dataset. Best values per dataset shown in bold.</w:t>
      </w:r>
      <w:r>
        <w:t xml:space="preserve"> </w:t>
      </w:r>
      <w:r>
        <w:t xml:space="preserve">Latency measured on NVIDIA RTX 3090.</w:t>
      </w:r>
    </w:p>
    <w:tbl>
      <w:tblPr>
        <w:tblStyle w:val="Table"/>
        <w:tblW w:type="pct" w:w="5000"/>
        <w:jc w:val="center"/>
        <w:tblLayout w:type="autofit"/>
        <w:tblLook w:firstRow="1" w:lastRow="0" w:firstColumn="0" w:lastColumn="0" w:noHBand="0" w:noVBand="0" w:val="0020"/>
        <w:tblBorders>
          <w:top w:val="single" w:sz="10" w:color="4F6272"/>
          <w:bottom w:val="single" w:sz="10" w:color="4F6272"/>
          <w:insideH w:val="single" w:sz="5" w:color="9FB0C2"/>
          <w:left w:val="single" w:sz="6" w:color="9FB0C2"/>
          <w:right w:val="single" w:sz="6" w:color="9FB0C2"/>
          <w:insideV w:val="single" w:sz="5" w:color="D9E1E8"/>
        </w:tblBorders>
      </w:tblPr>
      <w:tblGrid>
        <w:gridCol w:w="1131"/>
        <w:gridCol w:w="1131"/>
        <w:gridCol w:w="1131"/>
        <w:gridCol w:w="1131"/>
        <w:gridCol w:w="1131"/>
        <w:gridCol w:w="1131"/>
        <w:gridCol w:w="1131"/>
      </w:tblGrid>
      <w:tr>
        <w:trPr>
          <w:tblHeader w:val="on"/>
        </w:trPr>
        <w:tc>
          <w:tcPr>
            <w:vMerge w:val="restart"/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20"/>
              </w:rPr>
              <w:t xml:space="preserve">Model</w:t>
            </w:r>
          </w:p>
        </w:tc>
        <w:tc>
          <w:tcPr>
            <w:gridSpan w:val="2"/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Standard (DS-S)</w:t>
            </w:r>
          </w:p>
        </w:tc>
        <w:tc>
          <w:tcPr>
            <w:gridSpan w:val="2"/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Extreme (DS-E)</w:t>
            </w:r>
          </w:p>
        </w:tc>
        <w:tc>
          <w:tcPr>
            <w:vMerge w:val="restart"/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20"/>
              </w:rPr>
              <w:t xml:space="preserve">Train time</w:t>
            </w:r>
            <w:r>
              <w:rPr>
                <w:rFonts w:ascii="Times New Roman" w:hAnsi="Times New Roman"/>
                <w:b/>
                <w:sz w:val="20"/>
              </w:rPr>
              <w:br/>
            </w:r>
            <w:r>
              <w:rPr>
                <w:rFonts w:ascii="Times New Roman" w:hAnsi="Times New Roman"/>
                <w:b/>
                <w:sz w:val="20"/>
              </w:rPr>
              <w:t xml:space="preserve">(norm.)</w:t>
            </w:r>
          </w:p>
        </w:tc>
        <w:tc>
          <w:tcPr>
            <w:vMerge w:val="restart"/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20"/>
              </w:rPr>
              <w:t xml:space="preserve">Latency</w:t>
            </w:r>
            <w:r>
              <w:rPr>
                <w:rFonts w:ascii="Times New Roman" w:hAnsi="Times New Roman"/>
                <w:b/>
                <w:sz w:val="20"/>
              </w:rPr>
              <w:br/>
            </w:r>
            <w:r>
              <w:rPr>
                <w:rFonts w:ascii="Times New Roman" w:hAnsi="Times New Roman"/>
                <w:b/>
                <w:sz w:val="20"/>
              </w:rPr>
              <w:t xml:space="preserve">(ms)</w:t>
            </w:r>
          </w:p>
        </w:tc>
      </w:tr>
      <w:tr>
        <w:trPr>
          <w:tblHeader w:val="on"/>
        </w:trPr>
        <w:tc>
          <w:tcPr>
            <w:gridSpan w:val="1"/>
            <w:vMerge w:val="continue"/>
          </w:tcPr>
          <w:p>
            <w:pPr/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PSNR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SSIM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PSNR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SSIM</w:t>
            </w:r>
          </w:p>
        </w:tc>
        <w:tc>
          <w:tcPr>
            <w:gridSpan w:val="1"/>
            <w:vMerge w:val="continue"/>
          </w:tcPr>
          <w:p>
            <w:pPr/>
          </w:p>
        </w:tc>
        <w:tc>
          <w:tcPr>
            <w:gridSpan w:val="1"/>
            <w:vMerge w:val="continue"/>
          </w:tcPr>
          <w:p>
            <w:pPr/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U-Net (baseline)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23.66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0.9705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20.96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0.9464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1.00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11.75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U-Net Conditional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24.18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0.9743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21.35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0.9508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1.19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7.50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Restormer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24.71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0.9762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21.67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0.9563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14.87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14.01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GAN-Pix2Pix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23.21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0.9672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19.97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0.9177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1.23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7.34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Diffusion-SR3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21.74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0.9315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19.34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0.9052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4.69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21.81</w:t>
            </w:r>
          </w:p>
        </w:tc>
      </w:tr>
    </w:tbl>
    <w:p>
      <w:pPr>
        <w:pStyle w:val="BodyText"/>
        <w:spacing w:before="160"/>
        <w:jc w:val="both"/>
        <w:keepNext w:val="0"/>
        <w:keepLines w:val="0"/>
        <w:widowControl w:val="1"/>
      </w:pPr>
      <w:r>
        <w:t xml:space="preserve">On the Standard dataset, Restormer outperforms the U-Net baseline by 4.5% PSNR and 0.6% SSIM.</w:t>
      </w:r>
      <w:r>
        <w:t xml:space="preserve"> </w:t>
      </w:r>
      <w:r>
        <w:t xml:space="preserve">U-Net Conditional improves by 2.2% PSNR at a training cost only 1.19x that of U-Net.</w:t>
      </w:r>
      <w:r>
        <w:t xml:space="preserve"> </w:t>
      </w:r>
      <w:r>
        <w:t xml:space="preserve">GAN-Pix2Pix underperforms by 2.0% PSNR, and Diffusion-SR3 underperforms by 8.0% PSNR and 4.0% SSIM.</w:t>
      </w:r>
      <w:r>
        <w:t xml:space="preserve"> </w:t>
      </w:r>
      <w:r>
        <w:t xml:space="preserve">On the Extreme dataset the ranking is preserved, though absolute PSNR drops by</w:t>
      </w:r>
      <w:r>
        <w:t xml:space="preserve"> </w:t>
      </w:r>
      <m:oMath>
        <m:r>
          <m:rPr>
            <m:sty m:val="p"/>
          </m:rPr>
          <m:t>∼</m:t>
        </m:r>
      </m:oMath>
      <w:r>
        <w:t xml:space="preserve">3–4 dB</w:t>
      </w:r>
      <w:r>
        <w:t xml:space="preserve"> </w:t>
      </w:r>
      <w:r>
        <w:t xml:space="preserve">for all models, reflecting the harder angle distribution (Fig. 4).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Efficiency results confirm that U-Net Conditional offers the best accuracy-latency tradeoff at</w:t>
      </w:r>
      <w:r>
        <w:t xml:space="preserve"> </w:t>
      </w:r>
      <w:r>
        <w:t xml:space="preserve">7.50 ms inference. Restormer requires 14.87x the training compute of U-Net and has 14 ms latency.</w:t>
      </w:r>
      <w:r>
        <w:t xml:space="preserve"> </w:t>
      </w:r>
      <w:r>
        <w:t xml:space="preserve">Diffusion-SR3 is the most expensive to deploy at 21.81 ms due to its 20-step DDIM sampling loop.</w:t>
      </w:r>
    </w:p>
    <w:p>
      <w:pPr>
        <w:pStyle w:val="BodyText"/>
        <w:jc w:val="center"/>
        <w:keepNext/>
        <w:keepLines/>
        <w:widowControl w:val="1"/>
      </w:pPr>
      <w:r>
        <w:drawing>
          <wp:inline>
            <wp:extent cx="5943600" cy="4158156"/>
            <wp:effectExtent b="0" l="0" r="0" t="0"/>
            <wp:docPr descr="PSNR and SSIM per model for Standard and Extreme datasets" title="" id="37" name="Picture"/>
            <a:graphic>
              <a:graphicData uri="http://schemas.openxmlformats.org/drawingml/2006/picture">
                <pic:pic>
                  <pic:nvPicPr>
                    <pic:cNvPr descr="figures/generated/fig01_psnr_ssim_combined.pn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81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Fig. 4.</w:t>
      </w:r>
      <w:r>
        <w:t xml:space="preserve"> </w:t>
      </w:r>
      <w:r>
        <w:t xml:space="preserve">Test-split PSNR (dB, top row) and SSIM (bottom row) per model on the</w:t>
      </w:r>
      <w:r>
        <w:t xml:space="preserve"> </w:t>
      </w:r>
      <w:r>
        <w:t xml:space="preserve">Standard and Extreme datasets. Lollipops show deviation from the U-Net baseline (dashed line).</w:t>
      </w:r>
      <w:r>
        <w:t xml:space="preserve"> </w:t>
      </w:r>
      <w:r>
        <w:t xml:space="preserve">Restormer consistently leads; Diffusion-SR3 consistently lags. Absolute PSNR drops by</w:t>
      </w:r>
      <w:r>
        <w:t xml:space="preserve"> </w:t>
      </w:r>
      <m:oMath>
        <m:r>
          <m:rPr>
            <m:sty m:val="p"/>
          </m:rPr>
          <m:t>∼</m:t>
        </m:r>
      </m:oMath>
      <w:r>
        <w:t xml:space="preserve">3–4 dB on the Extreme dataset, reflecting its heavier emphasis on oblique angles.</w:t>
      </w:r>
    </w:p>
    <w:bookmarkStart w:id="39" w:name="spatial-recognition-patterns"/>
    <w:p>
      <w:pPr>
        <w:pStyle w:val="Heading3"/>
        <w:keepNext/>
        <w:keepLines/>
        <w:widowControl w:val="1"/>
      </w:pPr>
      <w:r>
        <w:t xml:space="preserve">5.2. Spatial Recognition Patterns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Evaluating plate-level OCR accuracy over the full</w:t>
      </w:r>
      <w:r>
        <w:t xml:space="preserve"> </w:t>
      </w:r>
      <m:oMath>
        <m:r>
          <m:rPr>
            <m:sty m:val="p"/>
          </m:rPr>
          <m:t>[</m:t>
        </m:r>
        <m:sSup>
          <m:e>
            <m:r>
              <m:t>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89</m:t>
            </m:r>
          </m:e>
          <m:sup>
            <m:r>
              <m:rPr>
                <m:sty m:val="p"/>
              </m:rPr>
              <m:t>∘</m:t>
            </m:r>
          </m:sup>
        </m:sSup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angle grid reveals</w:t>
      </w:r>
      <w:r>
        <w:t xml:space="preserve"> </w:t>
      </w:r>
      <w:r>
        <w:t xml:space="preserve">several spatial patterns that are consistent across all five models and both datasets. Recognition</w:t>
      </w:r>
      <w:r>
        <w:t xml:space="preserve"> </w:t>
      </w:r>
      <w:r>
        <w:t xml:space="preserve">is near-perfect (OCR</w:t>
      </w:r>
      <w:r>
        <w:t xml:space="preserve"> </w:t>
      </w:r>
      <m:oMath>
        <m:r>
          <m:rPr>
            <m:sty m:val="p"/>
          </m:rPr>
          <m:t>≈</m:t>
        </m:r>
        <m:r>
          <m:t>1.0</m:t>
        </m:r>
      </m:oMath>
      <w:r>
        <w:t xml:space="preserve">) when both</w:t>
      </w:r>
      <w:r>
        <w:t xml:space="preserve"> </w:t>
      </w:r>
      <m:oMath>
        <m:r>
          <m:t>α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β</m:t>
        </m:r>
      </m:oMath>
      <w:r>
        <w:t xml:space="preserve"> </w:t>
      </w:r>
      <w:r>
        <w:t xml:space="preserve">are below</w:t>
      </w:r>
      <w:r>
        <w:t xml:space="preserve"> </w:t>
      </w:r>
      <m:oMath>
        <m:sSup>
          <m:e>
            <m:r>
              <m:t>70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; this</w:t>
      </w:r>
      <w:r>
        <w:t xml:space="preserve"> </w:t>
      </w:r>
      <w:r>
        <w:t xml:space="preserve">region covers the majority of the grid and is the basis for the high boundary-AUC values reported</w:t>
      </w:r>
      <w:r>
        <w:t xml:space="preserve"> </w:t>
      </w:r>
      <w:r>
        <w:t xml:space="preserve">in Table 4. Recovery fails almost entirely once both angles exceed</w:t>
      </w:r>
      <w:r>
        <w:t xml:space="preserve"> </w:t>
      </w:r>
      <m:oMath>
        <m:sSup>
          <m:e>
            <m:r>
              <m:t>80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, producing the</w:t>
      </w:r>
      <w:r>
        <w:t xml:space="preserve"> </w:t>
      </w:r>
      <w:r>
        <w:t xml:space="preserve">approximately</w:t>
      </w:r>
      <w:r>
        <w:t xml:space="preserve"> </w:t>
      </w:r>
      <m:oMath>
        <m:r>
          <m:t>6.6</m:t>
        </m:r>
        <m:r>
          <m:rPr>
            <m:sty m:val="p"/>
          </m:rPr>
          <m:t>%</m:t>
        </m:r>
      </m:oMath>
      <w:r>
        <w:t xml:space="preserve"> </w:t>
      </w:r>
      <w:r>
        <w:t xml:space="preserve">unrecoverable corner summarised in Section 5.3.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Critically, the boundary is not symmetric. Along the extreme-</w:t>
      </w:r>
      <m:oMath>
        <m:r>
          <m:t>β</m:t>
        </m:r>
      </m:oMath>
      <w:r>
        <w:t xml:space="preserve"> </w:t>
      </w:r>
      <w:r>
        <w:t xml:space="preserve">edge, accuracy remains high</w:t>
      </w:r>
      <w:r>
        <w:t xml:space="preserve"> </w:t>
      </w:r>
      <w:r>
        <w:t xml:space="preserve">for</w:t>
      </w:r>
      <w:r>
        <w:t xml:space="preserve"> </w:t>
      </w:r>
      <m:oMath>
        <m:r>
          <m:t>α</m:t>
        </m:r>
      </m:oMath>
      <w:r>
        <w:t xml:space="preserve"> </w:t>
      </w:r>
      <w:r>
        <w:t xml:space="preserve">up to</w:t>
      </w:r>
      <w:r>
        <w:t xml:space="preserve"> </w:t>
      </w:r>
      <m:oMath>
        <m:r>
          <m:rPr>
            <m:sty m:val="p"/>
          </m:rPr>
          <m:t>≈</m:t>
        </m:r>
        <m:sSup>
          <m:e>
            <m:r>
              <m:t>60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 </w:t>
      </w:r>
      <w:r>
        <w:t xml:space="preserve">before declining. Along the extreme-</w:t>
      </w:r>
      <m:oMath>
        <m:r>
          <m:t>α</m:t>
        </m:r>
      </m:oMath>
      <w:r>
        <w:t xml:space="preserve"> </w:t>
      </w:r>
      <w:r>
        <w:t xml:space="preserve">edge, accuracy</w:t>
      </w:r>
      <w:r>
        <w:t xml:space="preserve"> </w:t>
      </w:r>
      <w:r>
        <w:t xml:space="preserve">drops sooner, even at low</w:t>
      </w:r>
      <w:r>
        <w:t xml:space="preserve"> </w:t>
      </w:r>
      <m:oMath>
        <m:r>
          <m:t>β</m:t>
        </m:r>
      </m:oMath>
      <w:r>
        <w:t xml:space="preserve">. This</w:t>
      </w:r>
      <w:r>
        <w:t xml:space="preserve"> </w:t>
      </w:r>
      <m:oMath>
        <m:r>
          <m:t>α</m:t>
        </m:r>
      </m:oMath>
      <w:r>
        <w:t xml:space="preserve">-versus-</w:t>
      </w:r>
      <m:oMath>
        <m:r>
          <m:t>β</m:t>
        </m:r>
      </m:oMath>
      <w:r>
        <w:t xml:space="preserve"> </w:t>
      </w:r>
      <w:r>
        <w:t xml:space="preserve">asymmetry is consistent across</w:t>
      </w:r>
      <w:r>
        <w:t xml:space="preserve"> </w:t>
      </w:r>
      <w:r>
        <w:t xml:space="preserve">both datasets and all five models, indicating that it is a property of the geometric distortion</w:t>
      </w:r>
      <w:r>
        <w:t xml:space="preserve"> </w:t>
      </w:r>
      <w:r>
        <w:t xml:space="preserve">rather than any particular architecture. A plate viewed from the side (high</w:t>
      </w:r>
      <w:r>
        <w:t xml:space="preserve"> </w:t>
      </w:r>
      <m:oMath>
        <m:r>
          <m:t>α</m:t>
        </m:r>
      </m:oMath>
      <w:r>
        <w:t xml:space="preserve">) loses digit</w:t>
      </w:r>
      <w:r>
        <w:t xml:space="preserve"> </w:t>
      </w:r>
      <w:r>
        <w:t xml:space="preserve">separability faster than a plate viewed from above (high</w:t>
      </w:r>
      <w:r>
        <w:t xml:space="preserve"> </w:t>
      </w:r>
      <m:oMath>
        <m:r>
          <m:t>β</m:t>
        </m:r>
      </m:oMath>
      <w:r>
        <w:t xml:space="preserve">) because lateral foreshortening</w:t>
      </w:r>
      <w:r>
        <w:t xml:space="preserve"> </w:t>
      </w:r>
      <w:r>
        <w:t xml:space="preserve">compresses the horizontal extent where digit strokes reside, while vertical foreshortening still</w:t>
      </w:r>
      <w:r>
        <w:t xml:space="preserve"> </w:t>
      </w:r>
      <w:r>
        <w:t xml:space="preserve">leaves digit contrast largely intact. Fig. 8 (qualitative comparison) illustrates this</w:t>
      </w:r>
      <w:r>
        <w:t xml:space="preserve"> </w:t>
      </w:r>
      <w:r>
        <w:t xml:space="preserve">asymmetry: at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=</m:t>
        </m:r>
        <m:sSup>
          <m:e>
            <m:r>
              <m:t>30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r>
          <m:t>β</m:t>
        </m:r>
        <m:r>
          <m:rPr>
            <m:sty m:val="p"/>
          </m:rPr>
          <m:t>=</m:t>
        </m:r>
        <m:sSup>
          <m:e>
            <m:r>
              <m:t>88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)</m:t>
        </m:r>
      </m:oMath>
      <w:r>
        <w:t xml:space="preserve"> </w:t>
      </w:r>
      <w:r>
        <w:t xml:space="preserve">most models still recover the plate, whereas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=</m:t>
        </m:r>
        <m:sSup>
          <m:e>
            <m:r>
              <m:t>85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r>
          <m:t>β</m:t>
        </m:r>
        <m:r>
          <m:rPr>
            <m:sty m:val="p"/>
          </m:rPr>
          <m:t>=</m:t>
        </m:r>
        <m:sSup>
          <m:e>
            <m:r>
              <m:t>65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)</m:t>
        </m:r>
      </m:oMath>
      <w:r>
        <w:t xml:space="preserve"> </w:t>
      </w:r>
      <w:r>
        <w:t xml:space="preserve">already causes the first digit to fail for every model.</w:t>
      </w:r>
    </w:p>
    <w:bookmarkEnd w:id="39"/>
    <w:p>
      <w:pPr>
        <w:pStyle w:val="BodyText"/>
        <w:jc w:val="center"/>
        <w:keepNext/>
        <w:keepLines/>
        <w:widowControl w:val="1"/>
      </w:pPr>
      <w:r>
        <w:drawing>
          <wp:inline>
            <wp:extent cx="5943600" cy="2762715"/>
            <wp:effectExtent b="0" l="0" r="0" t="0"/>
            <wp:docPr descr="Slope graph of Boundary-AUC and Reliability F from Standard to Extreme dataset" title="" id="41" name="Picture"/>
            <a:graphic>
              <a:graphicData uri="http://schemas.openxmlformats.org/drawingml/2006/picture">
                <pic:pic>
                  <pic:nvPicPr>
                    <pic:cNvPr descr="figures/generated/fig04_auc_f_slopegraph.png" id="42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271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Fig. 5.</w:t>
      </w:r>
      <w:r>
        <w:t xml:space="preserve"> </w:t>
      </w:r>
      <w:r>
        <w:t xml:space="preserve">Dataset-shift sensitivity of boundary-AUC (left) and reliability score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(right, log scale) for each model as training distribution shifts from Standard to Extreme.</w:t>
      </w:r>
      <w:r>
        <w:t xml:space="preserve"> </w:t>
      </w:r>
      <w:r>
        <w:t xml:space="preserve">Discriminative models (U-Net variants, Restormer) are essentially flat in AUC and tightly grouped</w:t>
      </w:r>
      <w:r>
        <w:t xml:space="preserve"> </w:t>
      </w:r>
      <w:r>
        <w:t xml:space="preserve">in</w:t>
      </w:r>
      <w:r>
        <w:t xml:space="preserve"> </w:t>
      </w:r>
      <m:oMath>
        <m:r>
          <m:t>F</m:t>
        </m:r>
      </m:oMath>
      <w:r>
        <w:t xml:space="preserve">, indicating stable performance. Diffusion-SR3 shows a dramatic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increase (0.572 → 1.124),</w:t>
      </w:r>
      <w:r>
        <w:t xml:space="preserve"> </w:t>
      </w:r>
      <w:r>
        <w:t xml:space="preserve">confirming hallucination sensitivity to angle-distribution shift.</w:t>
      </w:r>
    </w:p>
    <w:bookmarkStart w:id="43" w:name="X12073e61c1e246fc11bb00b45701756285c41b3"/>
    <w:p>
      <w:pPr>
        <w:pStyle w:val="Heading3"/>
        <w:keepNext/>
        <w:keepLines/>
        <w:widowControl w:val="1"/>
      </w:pPr>
      <w:r>
        <w:t xml:space="preserve">5.3. Recoverability Boundaries and Maximal Coverage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Taking the pointwise maximum over all models and datasets yields the</w:t>
      </w:r>
      <w:r>
        <w:t xml:space="preserve"> </w:t>
      </w:r>
      <w:r>
        <w:rPr>
          <w:i/>
          <w:iCs/>
        </w:rPr>
        <w:t xml:space="preserve">maximal recoverability</w:t>
      </w:r>
      <w:r>
        <w:rPr>
          <w:i/>
          <w:iCs/>
        </w:rPr>
        <w:t xml:space="preserve"> </w:t>
      </w:r>
      <w:r>
        <w:rPr>
          <w:i/>
          <w:iCs/>
        </w:rPr>
        <w:t xml:space="preserve">boundary</w:t>
      </w:r>
      <w:r>
        <w:t xml:space="preserve">, which encloses a boundary-AUC of 0.934. Even pooling across all trained models</w:t>
      </w:r>
      <w:r>
        <w:t xml:space="preserve"> </w:t>
      </w:r>
      <w:r>
        <w:t xml:space="preserve">and both training conditions, at most 93.4% of the</w:t>
      </w:r>
      <w:r>
        <w:t xml:space="preserve"> </w:t>
      </w:r>
      <m:oMath>
        <m:r>
          <m:rPr>
            <m:sty m:val="p"/>
          </m:rPr>
          <m:t>[</m:t>
        </m:r>
        <m:sSup>
          <m:e>
            <m:r>
              <m:t>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89</m:t>
            </m:r>
          </m:e>
          <m:sup>
            <m:r>
              <m:rPr>
                <m:sty m:val="p"/>
              </m:rPr>
              <m:t>∘</m:t>
            </m:r>
          </m:sup>
        </m:sSup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angle grid can be recovered at</w:t>
      </w:r>
      <w:r>
        <w:t xml:space="preserve"> </w:t>
      </w:r>
      <m:oMath>
        <m:r>
          <m:rPr>
            <m:sty m:val="p"/>
          </m:rPr>
          <m:t>≥</m:t>
        </m:r>
        <m:r>
          <m:t>90</m:t>
        </m:r>
        <m:r>
          <m:rPr>
            <m:sty m:val="p"/>
          </m:rPr>
          <m:t>%</m:t>
        </m:r>
      </m:oMath>
      <w:r>
        <w:t xml:space="preserve"> </w:t>
      </w:r>
      <w:r>
        <w:t xml:space="preserve">plate OCR accuracy. The remaining 6.6% (the upper-right</w:t>
      </w:r>
      <w:r>
        <w:t xml:space="preserve"> </w:t>
      </w:r>
      <w:r>
        <w:t xml:space="preserve">corner, where both</w:t>
      </w:r>
      <w:r>
        <w:t xml:space="preserve"> </w:t>
      </w:r>
      <m:oMath>
        <m:r>
          <m:t>α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β</m:t>
        </m:r>
      </m:oMath>
      <w:r>
        <w:t xml:space="preserve"> </w:t>
      </w:r>
      <w:r>
        <w:t xml:space="preserve">exceed</w:t>
      </w:r>
      <w:r>
        <w:t xml:space="preserve"> </w:t>
      </w:r>
      <m:oMath>
        <m:r>
          <m:rPr>
            <m:sty m:val="p"/>
          </m:rPr>
          <m:t>∼</m:t>
        </m:r>
        <m:sSup>
          <m:e>
            <m:r>
              <m:t>80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) is physically unrecoverable:</w:t>
      </w:r>
      <w:r>
        <w:t xml:space="preserve"> </w:t>
      </w:r>
      <w:r>
        <w:t xml:space="preserve">the signal energy in the severely foreshortened plate image is too low for any current restoration</w:t>
      </w:r>
      <w:r>
        <w:t xml:space="preserve"> </w:t>
      </w:r>
      <w:r>
        <w:t xml:space="preserve">method to extract a recognisable digit sequence. Across all ten model-dataset pairs the</w:t>
      </w:r>
      <w:r>
        <w:t xml:space="preserve"> </w:t>
      </w:r>
      <w:r>
        <w:t xml:space="preserve">per-model boundaries cluster tightly (see Table 4), confirming that the recoverable region</w:t>
      </w:r>
      <w:r>
        <w:t xml:space="preserve"> </w:t>
      </w:r>
      <w:r>
        <w:t xml:space="preserve">is determined by the physics of foreshortening rather than by architecture or training</w:t>
      </w:r>
      <w:r>
        <w:t xml:space="preserve"> </w:t>
      </w:r>
      <w:r>
        <w:t xml:space="preserve">distribution. The</w:t>
      </w:r>
      <w:r>
        <w:t xml:space="preserve"> </w:t>
      </w:r>
      <m:oMath>
        <m:r>
          <m:t>α</m:t>
        </m:r>
      </m:oMath>
      <w:r>
        <w:t xml:space="preserve">-axis contracts faster than the</w:t>
      </w:r>
      <w:r>
        <w:t xml:space="preserve"> </w:t>
      </w:r>
      <m:oMath>
        <m:r>
          <m:t>β</m:t>
        </m:r>
      </m:oMath>
      <w:r>
        <w:t xml:space="preserve">-axis, confirming the lateral</w:t>
      </w:r>
      <w:r>
        <w:t xml:space="preserve"> </w:t>
      </w:r>
      <w:r>
        <w:t xml:space="preserve">rotation asymmetry.</w:t>
      </w:r>
    </w:p>
    <w:bookmarkEnd w:id="43"/>
    <w:bookmarkStart w:id="44" w:name="recoverability-reliability-tradeoff"/>
    <w:p>
      <w:pPr>
        <w:pStyle w:val="Heading3"/>
        <w:keepNext/>
        <w:keepLines/>
        <w:widowControl w:val="1"/>
      </w:pPr>
      <w:r>
        <w:t xml:space="preserve">5.4. Recoverability-Reliability Tradeoff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Table 4 summarises the boundary-AUC and reliability score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for all</w:t>
      </w:r>
      <w:r>
        <w:t xml:space="preserve"> </w:t>
      </w:r>
      <w:r>
        <w:t xml:space="preserve">model-dataset pairs (Fig. 5 visualises the dataset-shift sensitivity). Discriminative models cluster in the AUC range</w:t>
      </w:r>
      <w:r>
        <w:t xml:space="preserve"> </w:t>
      </w:r>
      <m:oMath>
        <m:r>
          <m:rPr>
            <m:sty m:val="p"/>
          </m:rPr>
          <m:t>[</m:t>
        </m:r>
        <m:r>
          <m:t>0.915</m:t>
        </m:r>
        <m:r>
          <m:rPr>
            <m:sty m:val="p"/>
          </m:rPr>
          <m:t>,</m:t>
        </m:r>
        <m:r>
          <m:t>0.921</m:t>
        </m:r>
        <m:r>
          <m:rPr>
            <m:sty m:val="p"/>
          </m:rPr>
          <m:t>]</m:t>
        </m:r>
      </m:oMath>
      <w:r>
        <w:t xml:space="preserve"> </w:t>
      </w:r>
      <w:r>
        <w:t xml:space="preserve">with</w:t>
      </w:r>
      <w:r>
        <w:t xml:space="preserve"> </w:t>
      </w:r>
      <m:oMath>
        <m:r>
          <m:t>F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t>0.095</m:t>
        </m:r>
        <m:r>
          <m:rPr>
            <m:sty m:val="p"/>
          </m:rPr>
          <m:t>,</m:t>
        </m:r>
        <m:r>
          <m:t>0.209</m:t>
        </m:r>
        <m:r>
          <m:rPr>
            <m:sty m:val="p"/>
          </m:rPr>
          <m:t>]</m:t>
        </m:r>
      </m:oMath>
      <w:r>
        <w:t xml:space="preserve">, indicating both wide coverage and consistent interior performance.</w:t>
      </w:r>
      <w:r>
        <w:t xml:space="preserve"> </w:t>
      </w:r>
      <w:r>
        <w:t xml:space="preserve">Generative models fall 1–3% lower in AUC: GAN-Pix2Pix achieves</w:t>
      </w:r>
      <w:r>
        <w:t xml:space="preserve"> </w:t>
      </w:r>
      <m:oMath>
        <m:r>
          <m:t>F</m:t>
        </m:r>
        <m:r>
          <m:rPr>
            <m:sty m:val="p"/>
          </m:rPr>
          <m:t>≈</m:t>
        </m:r>
        <m:r>
          <m:t>0.17</m:t>
        </m:r>
      </m:oMath>
      <w:r>
        <w:t xml:space="preserve">,</w:t>
      </w:r>
      <w:r>
        <w:t xml:space="preserve"> </w:t>
      </w:r>
      <w:r>
        <w:t xml:space="preserve">while Diffusion-SR3 shows highly variable reliability, from</w:t>
      </w:r>
      <w:r>
        <w:t xml:space="preserve"> </w:t>
      </w:r>
      <m:oMath>
        <m:r>
          <m:t>F</m:t>
        </m:r>
        <m:r>
          <m:rPr>
            <m:sty m:val="p"/>
          </m:rPr>
          <m:t>=</m:t>
        </m:r>
        <m:r>
          <m:t>0.57</m:t>
        </m:r>
      </m:oMath>
      <w:r>
        <w:t xml:space="preserve"> </w:t>
      </w:r>
      <w:r>
        <w:t xml:space="preserve">on Standard to</w:t>
      </w:r>
      <w:r>
        <w:t xml:space="preserve"> </w:t>
      </w:r>
      <m:oMath>
        <m:r>
          <m:t>F</m:t>
        </m:r>
        <m:r>
          <m:rPr>
            <m:sty m:val="p"/>
          </m:rPr>
          <m:t>=</m:t>
        </m:r>
        <m:r>
          <m:t>1.12</m:t>
        </m:r>
      </m:oMath>
      <w:r>
        <w:t xml:space="preserve"> </w:t>
      </w:r>
      <w:r>
        <w:t xml:space="preserve">on Extreme. This instability reflects the tendency of diffusion models to hallucinate plausible</w:t>
      </w:r>
      <w:r>
        <w:t xml:space="preserve"> </w:t>
      </w:r>
      <w:r>
        <w:t xml:space="preserve">but incorrect digit sequences when the conditional input carries insufficient signal.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Restormer achieves the best AUC on both datasets (0.920 and 0.921) and the lowest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on Standard</w:t>
      </w:r>
      <w:r>
        <w:t xml:space="preserve"> </w:t>
      </w:r>
      <w:r>
        <w:t xml:space="preserve">(0.095). On Extreme, however, its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rises to 0.209 and U-Net Conditional takes the lowest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(0.115); Restormer's coverage is therefore robust to training-distribution shift, but its</w:t>
      </w:r>
      <w:r>
        <w:t xml:space="preserve"> </w:t>
      </w:r>
      <w:r>
        <w:t xml:space="preserve">interior consistency degrades. Comparing Standard and Extreme datasets, AUC values are nearly</w:t>
      </w:r>
      <w:r>
        <w:t xml:space="preserve"> </w:t>
      </w:r>
      <w:r>
        <w:t xml:space="preserve">identical (</w:t>
      </w:r>
      <m:oMath>
        <m:r>
          <m:rPr>
            <m:sty m:val="p"/>
          </m:rPr>
          <m:t>Δ</m:t>
        </m:r>
        <m:r>
          <m:rPr>
            <m:sty m:val="p"/>
          </m:rPr>
          <m:t>&lt;</m:t>
        </m:r>
        <m:r>
          <m:t>0.002</m:t>
        </m:r>
      </m:oMath>
      <w:r>
        <w:t xml:space="preserve">), indicating that training distribution shift does not substantially</w:t>
      </w:r>
      <w:r>
        <w:t xml:space="preserve"> </w:t>
      </w:r>
      <w:r>
        <w:t xml:space="preserve">alter the recoverable boundary itself, only its interior reliability.</w:t>
      </w:r>
    </w:p>
    <w:bookmarkEnd w:id="44"/>
    <w:p>
      <w:pPr>
        <w:pStyle w:val="TableCaption"/>
        <w:spacing w:before="160" w:after="60" w:line="240" w:lineRule="auto"/>
        <w:jc w:val="center"/>
        <w:keepNext/>
        <w:keepLines/>
        <w:widowControl w:val="1"/>
      </w:pPr>
      <w:r>
        <w:rPr>
          <w:b/>
          <w:bCs/>
        </w:rPr>
        <w:t xml:space="preserve">Table 4.</w:t>
      </w:r>
      <w:r>
        <w:t xml:space="preserve"> </w:t>
      </w:r>
      <w:r>
        <w:t xml:space="preserve">Boundary-AUC and reliability score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per model and dataset</w:t>
      </w:r>
      <w:r>
        <w:t xml:space="preserve"> </w:t>
      </w:r>
      <w:r>
        <w:t xml:space="preserve">on the full</w:t>
      </w:r>
      <w:r>
        <w:t xml:space="preserve"> </w:t>
      </w:r>
      <m:oMath>
        <m:r>
          <m:rPr>
            <m:sty m:val="p"/>
          </m:rPr>
          <m:t>[</m:t>
        </m:r>
        <m:sSup>
          <m:e>
            <m:r>
              <m:t>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89</m:t>
            </m:r>
          </m:e>
          <m:sup>
            <m:r>
              <m:rPr>
                <m:sty m:val="p"/>
              </m:rPr>
              <m:t>∘</m:t>
            </m:r>
          </m:sup>
        </m:sSup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evaluation grid (</w:t>
      </w:r>
      <m:oMath>
        <m:r>
          <m:t>T</m:t>
        </m:r>
        <m:r>
          <m:rPr>
            <m:sty m:val="p"/>
          </m:rPr>
          <m:t>=</m:t>
        </m:r>
        <m:r>
          <m:t>0.9</m:t>
        </m:r>
      </m:oMath>
      <w:r>
        <w:t xml:space="preserve">).</w:t>
      </w:r>
      <w:r>
        <w:t xml:space="preserve"> </w:t>
      </w:r>
      <w:r>
        <w:t xml:space="preserve">Higher AUC and lower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are better. Best AUC per dataset in bold.</w:t>
      </w:r>
    </w:p>
    <w:tbl>
      <w:tblPr>
        <w:tblStyle w:val="Table"/>
        <w:tblW w:type="pct" w:w="5000"/>
        <w:jc w:val="center"/>
        <w:tblLook w:firstRow="1" w:lastRow="0" w:firstColumn="0" w:lastColumn="0" w:noHBand="0" w:noVBand="0" w:val="0020"/>
        <w:tblLayout w:type="autofit"/>
        <w:tblBorders>
          <w:top w:val="single" w:sz="10" w:color="4F6272"/>
          <w:bottom w:val="single" w:sz="10" w:color="4F6272"/>
          <w:insideH w:val="single" w:sz="5" w:color="9FB0C2"/>
          <w:left w:val="single" w:sz="6" w:color="9FB0C2"/>
          <w:right w:val="single" w:sz="6" w:color="9FB0C2"/>
          <w:insideV w:val="single" w:sz="5" w:color="D9E1E8"/>
        </w:tblBorders>
      </w:tblPr>
      <w:tblGrid>
        <w:gridCol w:w="1584"/>
        <w:gridCol w:w="1584"/>
        <w:gridCol w:w="1584"/>
        <w:gridCol w:w="1584"/>
        <w:gridCol w:w="1584"/>
      </w:tblGrid>
      <w:tr>
        <w:trPr>
          <w:tblHeader w:val="on"/>
        </w:trPr>
        <w:tc>
          <w:tcPr>
            <w:vMerge w:val="restart"/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20"/>
              </w:rPr>
              <w:t xml:space="preserve">Model</w:t>
            </w:r>
          </w:p>
        </w:tc>
        <w:tc>
          <w:tcPr>
            <w:gridSpan w:val="2"/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Standard (DS-S)</w:t>
            </w:r>
          </w:p>
        </w:tc>
        <w:tc>
          <w:tcPr>
            <w:gridSpan w:val="2"/>
            <w:shd w:fill="EEF3F7"/>
            <w:tcBorders>
              <w:left w:val="single" w:sz="4" w:color="D9E1E8"/>
              <w:right w:val="single" w:sz="4" w:color="D9E1E8"/>
              <w:top w:val="single" w:sz="4" w:color="D9E1E8"/>
              <w:bottom w:val="single" w:sz="8" w:color="9FB0C2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b/>
                <w:sz w:val="19"/>
              </w:rPr>
              <w:t xml:space="preserve">Extreme (DS-E)</w:t>
            </w:r>
          </w:p>
        </w:tc>
      </w:tr>
      <w:tr>
        <w:trPr>
          <w:tblHeader w:val="on"/>
        </w:trPr>
        <w:tc>
          <w:tcPr>
            <w:gridSpan w:val="1"/>
            <w:vMerge w:val="continue"/>
          </w:tcPr>
          <w:p>
            <w:pPr/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AUC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F (deg)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AUC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F (deg)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U-Net (baseline)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0.915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0.103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0.915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0.146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U-Net Conditional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0.916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0.145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0.917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0.115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Restormer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0.920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0.095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0.921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0.209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GAN-Pix2Pix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0.909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0.168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0.899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single" w:sz="4" w:color="D9E1E8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0.173</w:t>
            </w:r>
          </w:p>
        </w:tc>
      </w:tr>
      <w:tr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Diffusion-SR3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0.889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0.572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0.886</w:t>
            </w:r>
          </w:p>
        </w:tc>
        <w:tc>
          <w:tcPr>
            <w:tcBorders>
              <w:left w:val="single" w:sz="4" w:color="D9E1E8"/>
              <w:right w:val="single" w:sz="4" w:color="D9E1E8"/>
              <w:top w:val="single" w:sz="4" w:color="D9E1E8"/>
              <w:bottom w:val="nil"/>
            </w:tcBorders>
          </w:tcPr>
          <w:p>
            <w:pPr>
              <w:pStyle w:val="Compact"/>
              <w:spacing w:before="0" w:after="20" w:line="240" w:lineRule="auto"/>
              <w:jc w:val="center"/>
              <w:keepNext w:val="0"/>
              <w:keepLines/>
              <w:widowControl w:val="1"/>
            </w:pPr>
            <w:r>
              <w:rPr>
                <w:rFonts w:ascii="Times New Roman" w:hAnsi="Times New Roman"/>
                <w:sz w:val="20"/>
              </w:rPr>
              <w:t xml:space="preserve">1.124</w:t>
            </w:r>
          </w:p>
        </w:tc>
      </w:tr>
    </w:tbl>
    <w:bookmarkStart w:id="45" w:name="metric-proxy-validity"/>
    <w:p>
      <w:pPr>
        <w:pStyle w:val="Heading3"/>
        <w:keepNext/>
        <w:keepLines/>
        <w:widowControl w:val="1"/>
      </w:pPr>
      <w:r>
        <w:t xml:space="preserve">5.5. Metric Proxy Validity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For system developers, a key practical question is whether PSNR or SSIM can serve as a reliable</w:t>
      </w:r>
      <w:r>
        <w:t xml:space="preserve"> </w:t>
      </w:r>
      <w:r>
        <w:t xml:space="preserve">surrogate for OCR accuracy during model training and validation, avoiding the computational cost</w:t>
      </w:r>
      <w:r>
        <w:t xml:space="preserve"> </w:t>
      </w:r>
      <w:r>
        <w:t xml:space="preserve">of running OCR on every epoch checkpoint.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Fig. 6 shows the PSNR-OCR scatter for Restormer and Diffusion-SR3 on the Standard dataset,</w:t>
      </w:r>
      <w:r>
        <w:t xml:space="preserve"> </w:t>
      </w:r>
      <w:r>
        <w:t xml:space="preserve">with each point representing one angle pair in the evaluation grid. The linear relationship is</w:t>
      </w:r>
      <w:r>
        <w:t xml:space="preserve"> </w:t>
      </w:r>
      <w:r>
        <w:t xml:space="preserve">tight for both models: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acc>
              <m:accPr>
                <m:chr m:val="̂"/>
              </m:accPr>
              <m:e>
                <m:r>
                  <m:t>y</m:t>
                </m:r>
              </m:e>
            </m:acc>
          </m:e>
          <m:sub>
            <m:r>
              <m:rPr>
                <m:nor/>
                <m:sty m:val="p"/>
              </m:rPr>
              <m:t>Rest</m:t>
            </m:r>
          </m:sub>
        </m:sSub>
        <m:r>
          <m:rPr>
            <m:sty m:val="p"/>
          </m:rPr>
          <m:t>=</m:t>
        </m:r>
        <m:r>
          <m:t>0.032</m:t>
        </m:r>
        <m:r>
          <m:t> </m:t>
        </m:r>
        <m:r>
          <m:rPr>
            <m:nor/>
            <m:sty m:val="p"/>
          </m:rPr>
          <m:t>PSNR</m:t>
        </m:r>
        <m:r>
          <m:rPr>
            <m:sty m:val="p"/>
          </m:rPr>
          <m:t>−</m:t>
        </m:r>
        <m:r>
          <m:t>0.55</m:t>
        </m:r>
        <m:r>
          <m:rPr>
            <m:sty m:val="p"/>
          </m:rPr>
          <m:t>,</m:t>
        </m:r>
        <m:r>
          <m:t> </m:t>
        </m:r>
        <m:sSup>
          <m:e>
            <m:r>
              <m:t>R</m:t>
            </m:r>
          </m:e>
          <m:sup>
            <m:r>
              <m:t>2</m:t>
            </m:r>
          </m:sup>
        </m:sSup>
        <m:r>
          <m:rPr>
            <m:sty m:val="p"/>
          </m:rPr>
          <m:t>=</m:t>
        </m:r>
        <m:r>
          <m:t>0.991</m:t>
        </m:r>
      </m:oMath>
      <w:r>
        <w:tab/>
        <w:t xml:space="preserve">(10)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acc>
              <m:accPr>
                <m:chr m:val="̂"/>
              </m:accPr>
              <m:e>
                <m:r>
                  <m:t>y</m:t>
                </m:r>
              </m:e>
            </m:acc>
          </m:e>
          <m:sub>
            <m:r>
              <m:rPr>
                <m:nor/>
                <m:sty m:val="p"/>
              </m:rPr>
              <m:t>Diff</m:t>
            </m:r>
          </m:sub>
        </m:sSub>
        <m:r>
          <m:rPr>
            <m:sty m:val="p"/>
          </m:rPr>
          <m:t>=</m:t>
        </m:r>
        <m:r>
          <m:t>0.043</m:t>
        </m:r>
        <m:r>
          <m:t> </m:t>
        </m:r>
        <m:r>
          <m:rPr>
            <m:nor/>
            <m:sty m:val="p"/>
          </m:rPr>
          <m:t>PSNR</m:t>
        </m:r>
        <m:r>
          <m:rPr>
            <m:sty m:val="p"/>
          </m:rPr>
          <m:t>−</m:t>
        </m:r>
        <m:r>
          <m:t>0.74</m:t>
        </m:r>
        <m:r>
          <m:rPr>
            <m:sty m:val="p"/>
          </m:rPr>
          <m:t>,</m:t>
        </m:r>
        <m:r>
          <m:t> </m:t>
        </m:r>
        <m:sSup>
          <m:e>
            <m:r>
              <m:t>R</m:t>
            </m:r>
          </m:e>
          <m:sup>
            <m:r>
              <m:t>2</m:t>
            </m:r>
          </m:sup>
        </m:sSup>
        <m:r>
          <m:rPr>
            <m:sty m:val="p"/>
          </m:rPr>
          <m:t>=</m:t>
        </m:r>
        <m:r>
          <m:t>0.979</m:t>
        </m:r>
      </m:oMath>
      <w:r>
        <w:tab/>
        <w:t xml:space="preserve">(11)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Each additional 1 dB of PSNR yields approximately 3% OCR gain for Restormer and 4% for</w:t>
      </w:r>
      <w:r>
        <w:t xml:space="preserve"> </w:t>
      </w:r>
      <w:r>
        <w:t xml:space="preserve">Diffusion-SR3. The error bars (one-standard-deviation bands over binned PSNR values) remain short</w:t>
      </w:r>
      <w:r>
        <w:t xml:space="preserve"> </w:t>
      </w:r>
      <w:r>
        <w:t xml:space="preserve">across the full range, confirming that plates sharing similar PSNR values deliver nearly identical</w:t>
      </w:r>
      <w:r>
        <w:t xml:space="preserve"> </w:t>
      </w:r>
      <w:r>
        <w:t xml:space="preserve">OCR outcomes. PSNR is thus a reliable training proxy; optimising it implicitly optimises OCR.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By contrast, the SSIM-OCR relationship is threshold-like (Fig. 7): OCR remains near zero</w:t>
      </w:r>
      <w:r>
        <w:t xml:space="preserve"> </w:t>
      </w:r>
      <w:r>
        <w:t xml:space="preserve">until SSIM reaches approximately 0.87–0.88, then rises sharply. The linear fits: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acc>
              <m:accPr>
                <m:chr m:val="̂"/>
              </m:accPr>
              <m:e>
                <m:r>
                  <m:t>y</m:t>
                </m:r>
              </m:e>
            </m:acc>
          </m:e>
          <m:sub>
            <m:r>
              <m:rPr>
                <m:nor/>
                <m:sty m:val="p"/>
              </m:rPr>
              <m:t>Rest</m:t>
            </m:r>
          </m:sub>
        </m:sSub>
        <m:r>
          <m:rPr>
            <m:sty m:val="p"/>
          </m:rPr>
          <m:t>=</m:t>
        </m:r>
        <m:r>
          <m:t>7.883</m:t>
        </m:r>
        <m:r>
          <m:t> </m:t>
        </m:r>
        <m:r>
          <m:rPr>
            <m:nor/>
            <m:sty m:val="p"/>
          </m:rPr>
          <m:t>SSIM</m:t>
        </m:r>
        <m:r>
          <m:rPr>
            <m:sty m:val="p"/>
          </m:rPr>
          <m:t>−</m:t>
        </m:r>
        <m:r>
          <m:t>6.88</m:t>
        </m:r>
        <m:r>
          <m:rPr>
            <m:sty m:val="p"/>
          </m:rPr>
          <m:t>,</m:t>
        </m:r>
        <m:r>
          <m:t> </m:t>
        </m:r>
        <m:sSup>
          <m:e>
            <m:r>
              <m:t>R</m:t>
            </m:r>
          </m:e>
          <m:sup>
            <m:r>
              <m:t>2</m:t>
            </m:r>
          </m:sup>
        </m:sSup>
        <m:r>
          <m:rPr>
            <m:sty m:val="p"/>
          </m:rPr>
          <m:t>=</m:t>
        </m:r>
        <m:r>
          <m:t>0.777</m:t>
        </m:r>
      </m:oMath>
      <w:r>
        <w:tab/>
        <w:t xml:space="preserve">(12)</w:t>
      </w:r>
    </w:p>
    <w:p>
      <w:pPr>
        <w:pStyle w:val="BodyText"/>
        <w:tabs>
          <w:tab w:val="center" w:pos="4680"/>
          <w:tab w:val="right" w:pos="9360"/>
        </w:tabs>
        <w:jc w:val="both"/>
        <w:keepNext w:val="0"/>
        <w:keepLines w:val="0"/>
        <w:widowControl w:val="1"/>
      </w:pPr>
      <w:r>
        <w:tab/>
      </w:r>
      <m:oMath>
        <m:sSub>
          <m:e>
            <m:acc>
              <m:accPr>
                <m:chr m:val="̂"/>
              </m:accPr>
              <m:e>
                <m:r>
                  <m:t>y</m:t>
                </m:r>
              </m:e>
            </m:acc>
          </m:e>
          <m:sub>
            <m:r>
              <m:rPr>
                <m:nor/>
                <m:sty m:val="p"/>
              </m:rPr>
              <m:t>Diff</m:t>
            </m:r>
          </m:sub>
        </m:sSub>
        <m:r>
          <m:rPr>
            <m:sty m:val="p"/>
          </m:rPr>
          <m:t>=</m:t>
        </m:r>
        <m:r>
          <m:t>6.395</m:t>
        </m:r>
        <m:r>
          <m:t> </m:t>
        </m:r>
        <m:r>
          <m:rPr>
            <m:nor/>
            <m:sty m:val="p"/>
          </m:rPr>
          <m:t>SSIM</m:t>
        </m:r>
        <m:r>
          <m:rPr>
            <m:sty m:val="p"/>
          </m:rPr>
          <m:t>−</m:t>
        </m:r>
        <m:r>
          <m:t>5.26</m:t>
        </m:r>
        <m:r>
          <m:rPr>
            <m:sty m:val="p"/>
          </m:rPr>
          <m:t>,</m:t>
        </m:r>
        <m:r>
          <m:t> </m:t>
        </m:r>
        <m:sSup>
          <m:e>
            <m:r>
              <m:t>R</m:t>
            </m:r>
          </m:e>
          <m:sup>
            <m:r>
              <m:t>2</m:t>
            </m:r>
          </m:sup>
        </m:sSup>
        <m:r>
          <m:rPr>
            <m:sty m:val="p"/>
          </m:rPr>
          <m:t>=</m:t>
        </m:r>
        <m:r>
          <m:t>0.739</m:t>
        </m:r>
      </m:oMath>
      <w:r>
        <w:tab/>
        <w:t xml:space="preserve">(13)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explain only 74–78% of OCR variance, and the error bars in the transition zone are wide:</w:t>
      </w:r>
      <w:r>
        <w:t xml:space="preserve"> </w:t>
      </w:r>
      <w:r>
        <w:t xml:space="preserve">plates at the same SSIM level can have near-zero or near-perfect OCR depending on which specific</w:t>
      </w:r>
      <w:r>
        <w:t xml:space="preserve"> </w:t>
      </w:r>
      <w:r>
        <w:t xml:space="preserve">digits are distorted. SSIM should not be used as the primary validation metric for LPR restoration.</w:t>
      </w:r>
    </w:p>
    <w:bookmarkEnd w:id="45"/>
    <w:p>
      <w:pPr>
        <w:pStyle w:val="BodyText"/>
        <w:jc w:val="center"/>
        <w:keepNext/>
        <w:keepLines/>
        <w:widowControl w:val="1"/>
      </w:pPr>
      <w:r>
        <w:drawing>
          <wp:inline>
            <wp:extent cx="5943600" cy="4322044"/>
            <wp:effectExtent b="0" l="0" r="0" t="0"/>
            <wp:docPr descr="PSNR vs OCR accuracy" title="" id="47" name="Picture"/>
            <a:graphic>
              <a:graphicData uri="http://schemas.openxmlformats.org/drawingml/2006/picture">
                <pic:pic>
                  <pic:nvPicPr>
                    <pic:cNvPr descr="figures/generated/fig07_psnr_ocr_correlation.png" id="48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20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Fig. 6.</w:t>
      </w:r>
      <w:r>
        <w:t xml:space="preserve"> </w:t>
      </w:r>
      <w:r>
        <w:t xml:space="preserve">Plate-level PSNR vs. plate-level OCR accuracy for Restormer (left,</w:t>
      </w:r>
      <w:r>
        <w:t xml:space="preserve"> </w:t>
      </w:r>
      <w:r>
        <w:t xml:space="preserve">blue) and Diffusion-SR3 (right, red) on the Standard dataset. Solid lines show the exact linear</w:t>
      </w:r>
      <w:r>
        <w:t xml:space="preserve"> </w:t>
      </w:r>
      <w:r>
        <w:t xml:space="preserve">fits (Eqs. 10–11). Binned means (circles) and one-standard-deviation error bars</w:t>
      </w:r>
      <w:r>
        <w:t xml:space="preserve"> </w:t>
      </w:r>
      <w:r>
        <w:t xml:space="preserve">confirm a tight, low-variance relationship across the full PSNR range. Horizontal dashed line</w:t>
      </w:r>
      <w:r>
        <w:t xml:space="preserve"> </w:t>
      </w:r>
      <w:r>
        <w:t xml:space="preserve">marks the</w:t>
      </w:r>
      <w:r>
        <w:t xml:space="preserve"> </w:t>
      </w:r>
      <m:oMath>
        <m:r>
          <m:t>T</m:t>
        </m:r>
        <m:r>
          <m:rPr>
            <m:sty m:val="p"/>
          </m:rPr>
          <m:t>=</m:t>
        </m:r>
        <m:r>
          <m:t>0.9</m:t>
        </m:r>
      </m:oMath>
      <w:r>
        <w:t xml:space="preserve"> </w:t>
      </w:r>
      <w:r>
        <w:t xml:space="preserve">OCR threshold.</w:t>
      </w:r>
    </w:p>
    <w:p>
      <w:pPr>
        <w:pStyle w:val="BodyText"/>
        <w:jc w:val="center"/>
        <w:keepNext/>
        <w:keepLines/>
        <w:widowControl w:val="1"/>
      </w:pPr>
      <w:r>
        <w:drawing>
          <wp:inline>
            <wp:extent cx="5943600" cy="4325105"/>
            <wp:effectExtent b="0" l="0" r="0" t="0"/>
            <wp:docPr descr="SSIM vs OCR accuracy" title="" id="50" name="Picture"/>
            <a:graphic>
              <a:graphicData uri="http://schemas.openxmlformats.org/drawingml/2006/picture">
                <pic:pic>
                  <pic:nvPicPr>
                    <pic:cNvPr descr="figures/generated/fig08_ssim_ocr_threshold.png" id="51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5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Fig. 7.</w:t>
      </w:r>
      <w:r>
        <w:t xml:space="preserve"> </w:t>
      </w:r>
      <w:r>
        <w:t xml:space="preserve">Plate-level SSIM vs. plate-level OCR accuracy (Eqs. 12–13).</w:t>
      </w:r>
      <w:r>
        <w:t xml:space="preserve"> </w:t>
      </w:r>
      <w:r>
        <w:t xml:space="preserve">OCR remains near zero below SSIM</w:t>
      </w:r>
      <w:r>
        <w:t xml:space="preserve"> </w:t>
      </w:r>
      <m:oMath>
        <m:r>
          <m:rPr>
            <m:sty m:val="p"/>
          </m:rPr>
          <m:t>≈</m:t>
        </m:r>
        <m:r>
          <m:t>0.87</m:t>
        </m:r>
      </m:oMath>
      <w:r>
        <w:t xml:space="preserve">–</w:t>
      </w:r>
      <m:oMath>
        <m:r>
          <m:t>0.88</m:t>
        </m:r>
      </m:oMath>
      <w:r>
        <w:t xml:space="preserve">, then rises sharply. Wide error bars</w:t>
      </w:r>
      <w:r>
        <w:t xml:space="preserve"> </w:t>
      </w:r>
      <w:r>
        <w:t xml:space="preserve">in the transition zone indicate that SSIM is an unreliable training proxy: two plates at</w:t>
      </w:r>
      <w:r>
        <w:t xml:space="preserve"> </w:t>
      </w:r>
      <w:r>
        <w:t xml:space="preserve">identical SSIM can differ by nearly 100% in OCR accuracy.</w:t>
      </w:r>
    </w:p>
    <w:p>
      <w:pPr>
        <w:pStyle w:val="BodyText"/>
        <w:jc w:val="center"/>
        <w:keepNext/>
        <w:keepLines/>
        <w:widowControl w:val="1"/>
      </w:pPr>
      <w:r>
        <w:drawing>
          <wp:inline>
            <wp:extent cx="5943600" cy="4094769"/>
            <wp:effectExtent b="0" l="0" r="0" t="0"/>
            <wp:docPr descr="Plate restoration examples by each model at three angle regimes" title="" id="53" name="Picture"/>
            <a:graphic>
              <a:graphicData uri="http://schemas.openxmlformats.org/drawingml/2006/picture">
                <pic:pic>
                  <pic:nvPicPr>
                    <pic:cNvPr descr="figures/generated/fig_comparison_panel.png" id="54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947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  <w:jc w:val="both"/>
        <w:keepNext w:val="0"/>
        <w:keepLines w:val="0"/>
        <w:widowControl w:val="1"/>
      </w:pPr>
      <w:r>
        <w:rPr>
          <w:b/>
          <w:bCs/>
        </w:rPr>
        <w:t xml:space="preserve">Fig. 8.</w:t>
      </w:r>
      <w:r>
        <w:t xml:space="preserve"> </w:t>
      </w:r>
      <w:r>
        <w:t xml:space="preserve">Qualitative plate restoration examples at three representative angle</w:t>
      </w:r>
      <w:r>
        <w:t xml:space="preserve"> </w:t>
      </w:r>
      <w:r>
        <w:t xml:space="preserve">regimes of increasing difficulty:</w:t>
      </w:r>
      <w:r>
        <w:t xml:space="preserve"> </w:t>
      </w:r>
      <w:r>
        <w:rPr>
          <w:i/>
          <w:iCs/>
        </w:rPr>
        <w:t xml:space="preserve">good recovery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=</m:t>
        </m:r>
        <m:sSup>
          <m:e>
            <m:r>
              <m:t>30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r>
          <m:t> </m:t>
        </m:r>
        <m:r>
          <m:t>β</m:t>
        </m:r>
        <m:r>
          <m:rPr>
            <m:sty m:val="p"/>
          </m:rPr>
          <m:t>=</m:t>
        </m:r>
        <m:sSup>
          <m:e>
            <m:r>
              <m:t>88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)</m:t>
        </m:r>
      </m:oMath>
      <w:r>
        <w:t xml:space="preserve">, single-axis extreme;</w:t>
      </w:r>
      <w:r>
        <w:t xml:space="preserve"> </w:t>
      </w:r>
      <w:r>
        <w:rPr>
          <w:i/>
          <w:iCs/>
        </w:rPr>
        <w:t xml:space="preserve">partial recovery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=</m:t>
        </m:r>
        <m:sSup>
          <m:e>
            <m:r>
              <m:t>85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r>
          <m:t> </m:t>
        </m:r>
        <m:r>
          <m:t>β</m:t>
        </m:r>
        <m:r>
          <m:rPr>
            <m:sty m:val="p"/>
          </m:rPr>
          <m:t>=</m:t>
        </m:r>
        <m:sSup>
          <m:e>
            <m:r>
              <m:t>65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)</m:t>
        </m:r>
      </m:oMath>
      <w:r>
        <w:t xml:space="preserve">, mixed extreme; and</w:t>
      </w:r>
      <w:r>
        <w:t xml:space="preserve"> </w:t>
      </w:r>
      <w:r>
        <w:rPr>
          <w:i/>
          <w:iCs/>
        </w:rPr>
        <w:t xml:space="preserve">failure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=</m:t>
        </m:r>
        <m:sSup>
          <m:e>
            <m:r>
              <m:t>88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r>
          <m:t> </m:t>
        </m:r>
        <m:r>
          <m:t>β</m:t>
        </m:r>
        <m:r>
          <m:rPr>
            <m:sty m:val="p"/>
          </m:rPr>
          <m:t>=</m:t>
        </m:r>
        <m:sSup>
          <m:e>
            <m:r>
              <m:t>82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)</m:t>
        </m:r>
      </m:oMath>
      <w:r>
        <w:t xml:space="preserve">, double extreme. Rows show each model's output; the first</w:t>
      </w:r>
      <w:r>
        <w:t xml:space="preserve"> </w:t>
      </w:r>
      <w:r>
        <w:t xml:space="preserve">two rows (distorted input and ground truth) are shared reference. Discriminative models (U-Net</w:t>
      </w:r>
      <w:r>
        <w:t xml:space="preserve"> </w:t>
      </w:r>
      <w:r>
        <w:t xml:space="preserve">variants, Restormer) produce legible digit sequences in the good- and partial-recovery cases,</w:t>
      </w:r>
      <w:r>
        <w:t xml:space="preserve"> </w:t>
      </w:r>
      <w:r>
        <w:t xml:space="preserve">while generative models (GAN-Pix2Pix, Diffusion-SR3) show visibly hallucinated or distorted</w:t>
      </w:r>
      <w:r>
        <w:t xml:space="preserve"> </w:t>
      </w:r>
      <w:r>
        <w:t xml:space="preserve">outputs. All models fail in the double-extreme case, consistent with the</w:t>
      </w:r>
      <w:r>
        <w:t xml:space="preserve"> </w:t>
      </w:r>
      <m:oMath>
        <m:r>
          <m:rPr>
            <m:sty m:val="p"/>
          </m:rPr>
          <m:t>∼</m:t>
        </m:r>
        <m:r>
          <m:t>93.4</m:t>
        </m:r>
        <m:r>
          <m:rPr>
            <m:sty m:val="p"/>
          </m:rPr>
          <m:t>%</m:t>
        </m:r>
      </m:oMath>
      <w:r>
        <w:t xml:space="preserve"> </w:t>
      </w:r>
      <w:r>
        <w:t xml:space="preserve">maximal</w:t>
      </w:r>
      <w:r>
        <w:t xml:space="preserve"> </w:t>
      </w:r>
      <w:r>
        <w:t xml:space="preserve">recoverability boundary.</w:t>
      </w:r>
    </w:p>
    <w:bookmarkStart w:id="59" w:name="discussion"/>
    <w:p>
      <w:pPr>
        <w:pStyle w:val="Heading2"/>
        <w:keepNext/>
        <w:keepLines/>
        <w:widowControl w:val="1"/>
      </w:pPr>
      <w:r>
        <w:t xml:space="preserve">6. Discussion</w:t>
      </w:r>
    </w:p>
    <w:bookmarkStart w:id="55" w:name="interpretation-of-the-observed-patterns"/>
    <w:p>
      <w:pPr>
        <w:pStyle w:val="Heading3"/>
        <w:keepNext/>
        <w:keepLines/>
        <w:widowControl w:val="1"/>
      </w:pPr>
      <w:r>
        <w:t xml:space="preserve">6.1. Interpretation of the Observed Patterns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Three empirical patterns follow from the structure of the problem rather than from implementation</w:t>
      </w:r>
      <w:r>
        <w:t xml:space="preserve"> </w:t>
      </w:r>
      <w:r>
        <w:t xml:space="preserve">details, and a fourth concerns how the training-angle distribution affects interior consistency</w:t>
      </w:r>
      <w:r>
        <w:t xml:space="preserve"> </w:t>
      </w:r>
      <w:r>
        <w:t xml:space="preserve">rather than coverage. The</w:t>
      </w:r>
      <w:r>
        <w:t xml:space="preserve"> </w:t>
      </w:r>
      <m:oMath>
        <m:r>
          <m:t>α</m:t>
        </m:r>
        <m:r>
          <m:rPr>
            <m:sty m:val="p"/>
          </m:rPr>
          <m:t>/</m:t>
        </m:r>
        <m:r>
          <m:t>β</m:t>
        </m:r>
      </m:oMath>
      <w:r>
        <w:t xml:space="preserve"> </w:t>
      </w:r>
      <w:r>
        <w:t xml:space="preserve">asymmetry reflects the information geometry of the plate</w:t>
      </w:r>
      <w:r>
        <w:t xml:space="preserve"> </w:t>
      </w:r>
      <w:r>
        <w:t xml:space="preserve">itself: a license plate is a horizontal strip in which digit identity is encoded in the horizontal</w:t>
      </w:r>
      <w:r>
        <w:t xml:space="preserve"> </w:t>
      </w:r>
      <w:r>
        <w:t xml:space="preserve">separation of character strokes rather than in vertical extent. An elevational rotation</w:t>
      </w:r>
      <w:r>
        <w:t xml:space="preserve"> </w:t>
      </w:r>
      <m:oMath>
        <m:r>
          <m:t>β</m:t>
        </m:r>
      </m:oMath>
      <w:r>
        <w:t xml:space="preserve"> </w:t>
      </w:r>
      <w:r>
        <w:t xml:space="preserve">compresses</w:t>
      </w:r>
      <w:r>
        <w:t xml:space="preserve"> </w:t>
      </w:r>
      <w:r>
        <w:t xml:space="preserve">vertical extent but leaves the horizontal digit sequence intact, whereas a lateral rotation</w:t>
      </w:r>
      <w:r>
        <w:t xml:space="preserve"> </w:t>
      </w:r>
      <m:oMath>
        <m:r>
          <m:t>α</m:t>
        </m:r>
      </m:oMath>
      <w:r>
        <w:t xml:space="preserve"> </w:t>
      </w:r>
      <w:r>
        <w:t xml:space="preserve">compresses the axis along which the digits are encoded, collapsing adjacent characters</w:t>
      </w:r>
      <w:r>
        <w:t xml:space="preserve"> </w:t>
      </w:r>
      <w:r>
        <w:t xml:space="preserve">into each other long before the plate becomes geometrically unrecognisable. This asymmetry is</w:t>
      </w:r>
      <w:r>
        <w:t xml:space="preserve"> </w:t>
      </w:r>
      <w:r>
        <w:t xml:space="preserve">visible in every model and is therefore a property of the input signal rather than of the</w:t>
      </w:r>
      <w:r>
        <w:t xml:space="preserve"> </w:t>
      </w:r>
      <w:r>
        <w:t xml:space="preserve">networks.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The advantage of discriminative models reflects an alignment between training objective and task.</w:t>
      </w:r>
      <w:r>
        <w:t xml:space="preserve"> </w:t>
      </w:r>
      <w:r>
        <w:t xml:space="preserve">U-Net, U-Net Conditional, and Restormer are trained end-to-end with paired (distorted, clean)</w:t>
      </w:r>
      <w:r>
        <w:t xml:space="preserve"> </w:t>
      </w:r>
      <w:r>
        <w:t xml:space="preserve">samples and an L1 + SSIM objective, which is a direct regression of the distortion-to-character</w:t>
      </w:r>
      <w:r>
        <w:t xml:space="preserve"> </w:t>
      </w:r>
      <w:r>
        <w:t xml:space="preserve">map that the networks must invert at inference time. GAN adversarial losses and diffusion</w:t>
      </w:r>
      <w:r>
        <w:t xml:space="preserve"> </w:t>
      </w:r>
      <w:r>
        <w:t xml:space="preserve">denoising objectives instead prioritise perceptual plausibility, a criterion that competes with</w:t>
      </w:r>
      <w:r>
        <w:t xml:space="preserve"> </w:t>
      </w:r>
      <w:r>
        <w:t xml:space="preserve">character fidelity: a plausible plate need not be the correct plate. Restormer and the U-Net</w:t>
      </w:r>
      <w:r>
        <w:t xml:space="preserve"> </w:t>
      </w:r>
      <w:r>
        <w:t xml:space="preserve">variants therefore cluster near the top of Table 4 on both AUC and</w:t>
      </w:r>
      <w:r>
        <w:t xml:space="preserve"> </w:t>
      </w:r>
      <m:oMath>
        <m:r>
          <m:t>F</m:t>
        </m:r>
      </m:oMath>
      <w:r>
        <w:t xml:space="preserve">. Diffusion-SR3's</w:t>
      </w:r>
      <w:r>
        <w:t xml:space="preserve"> </w:t>
      </w:r>
      <w:r>
        <w:t xml:space="preserve">instability at extreme angles follows from the same tradeoff: when the conditional input carries</w:t>
      </w:r>
      <w:r>
        <w:t xml:space="preserve"> </w:t>
      </w:r>
      <w:r>
        <w:t xml:space="preserve">low signal-to-noise the denoising network is free to sample any digit string consistent with the</w:t>
      </w:r>
      <w:r>
        <w:t xml:space="preserve"> </w:t>
      </w:r>
      <w:r>
        <w:t xml:space="preserve">remaining evidence, producing plausible but incorrect plates. The reliability score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captures</w:t>
      </w:r>
      <w:r>
        <w:t xml:space="preserve"> </w:t>
      </w:r>
      <w:r>
        <w:t xml:space="preserve">this directly, rising to</w:t>
      </w:r>
      <w:r>
        <w:t xml:space="preserve"> </w:t>
      </w:r>
      <m:oMath>
        <m:r>
          <m:t>1.124</m:t>
        </m:r>
      </m:oMath>
      <w:r>
        <w:t xml:space="preserve"> </w:t>
      </w:r>
      <w:r>
        <w:t xml:space="preserve">on DS-E, an order of magnitude worse than any discriminative</w:t>
      </w:r>
      <w:r>
        <w:t xml:space="preserve"> </w:t>
      </w:r>
      <w:r>
        <w:t xml:space="preserve">model.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The training distribution shapes interior consistency rather than coverage. Boundary-AUC is</w:t>
      </w:r>
      <w:r>
        <w:t xml:space="preserve"> </w:t>
      </w:r>
      <w:r>
        <w:t xml:space="preserve">nearly identical across the Standard and Extreme datasets ($\Delta &lt; 0.002$ for the</w:t>
      </w:r>
      <w:r>
        <w:t xml:space="preserve"> </w:t>
      </w:r>
      <w:r>
        <w:t xml:space="preserve">discriminative models), indicating that the extent of the recoverable region is bounded by the</w:t>
      </w:r>
      <w:r>
        <w:t xml:space="preserve"> </w:t>
      </w:r>
      <w:r>
        <w:t xml:space="preserve">physics of foreshortening rather than by the training-angle PDF. The angle PDF does, however,</w:t>
      </w:r>
      <w:r>
        <w:t xml:space="preserve"> </w:t>
      </w:r>
      <w:r>
        <w:t xml:space="preserve">shape</w:t>
      </w:r>
      <w:r>
        <w:t xml:space="preserve"> </w:t>
      </w:r>
      <m:oMath>
        <m:r>
          <m:t>F</m:t>
        </m:r>
      </m:oMath>
      <w:r>
        <w:t xml:space="preserve">: the Extreme dataset destabilises Diffusion-SR3 (</w:t>
      </w:r>
      <m:oMath>
        <m:r>
          <m:t>F</m:t>
        </m:r>
      </m:oMath>
      <w:r>
        <w:t xml:space="preserve"> </w:t>
      </w:r>
      <w:r>
        <w:t xml:space="preserve">rises from</w:t>
      </w:r>
      <w:r>
        <w:t xml:space="preserve"> </w:t>
      </w:r>
      <m:oMath>
        <m:r>
          <m:t>0.57</m:t>
        </m:r>
      </m:oMath>
      <w:r>
        <w:t xml:space="preserve"> </w:t>
      </w:r>
      <w:r>
        <w:t xml:space="preserve">to</w:t>
      </w:r>
      <w:r>
        <w:t xml:space="preserve"> </w:t>
      </w:r>
      <m:oMath>
        <m:r>
          <m:t>1.12</m:t>
        </m:r>
      </m:oMath>
      <w:r>
        <w:t xml:space="preserve">) and</w:t>
      </w:r>
      <w:r>
        <w:t xml:space="preserve"> </w:t>
      </w:r>
      <w:r>
        <w:t xml:space="preserve">produces small shifts in interior behaviour for the other models. This is the classical</w:t>
      </w:r>
      <w:r>
        <w:t xml:space="preserve"> </w:t>
      </w:r>
      <w:r>
        <w:t xml:space="preserve">bias-variance tradeoff of data distribution design and implies that practitioners building</w:t>
      </w:r>
      <w:r>
        <w:t xml:space="preserve"> </w:t>
      </w:r>
      <w:r>
        <w:t xml:space="preserve">real-data pipelines should prioritise angular diversity and corner coverage over raw sample</w:t>
      </w:r>
      <w:r>
        <w:t xml:space="preserve"> </w:t>
      </w:r>
      <w:r>
        <w:t xml:space="preserve">count.</w:t>
      </w:r>
    </w:p>
    <w:bookmarkEnd w:id="55"/>
    <w:bookmarkStart w:id="56" w:name="X5dd0b9b22b37b9d978b54c8726f3566133401a6"/>
    <w:p>
      <w:pPr>
        <w:pStyle w:val="Heading3"/>
        <w:keepNext/>
        <w:keepLines/>
        <w:widowControl w:val="1"/>
      </w:pPr>
      <w:r>
        <w:t xml:space="preserve">6.2. Beyond LPR: Other Instances of the Framework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The recoverability-map framework introduced in Section 3 is deliberately task-agnostic, and</w:t>
      </w:r>
      <w:r>
        <w:t xml:space="preserve"> </w:t>
      </w:r>
      <w:r>
        <w:t xml:space="preserve">the methodology demonstrated here on oblique-view LPR transfers to several other</w:t>
      </w:r>
      <w:r>
        <w:t xml:space="preserve"> </w:t>
      </w:r>
      <w:r>
        <w:t xml:space="preserve">opportunistic-sensing problems of interest to the urban-systems community. Face recognition from</w:t>
      </w:r>
      <w:r>
        <w:t xml:space="preserve"> </w:t>
      </w:r>
      <w:r>
        <w:t xml:space="preserve">pole-mounted or body-worn cameras under controlled pose and occlusion parameters fits the</w:t>
      </w:r>
      <w:r>
        <w:t xml:space="preserve"> </w:t>
      </w:r>
      <w:r>
        <w:t xml:space="preserve">framework directly: the parameter space becomes (yaw, occlusion fraction) and the utility is a</w:t>
      </w:r>
      <w:r>
        <w:t xml:space="preserve"> </w:t>
      </w:r>
      <w:r>
        <w:t xml:space="preserve">thresholded face-identification score. Scene-text reading from dashcam imagery under glare and</w:t>
      </w:r>
      <w:r>
        <w:t xml:space="preserve"> </w:t>
      </w:r>
      <w:r>
        <w:t xml:space="preserve">motion-blur parameters is another natural instantiation. Gait recognition from non-frontal CCTV,</w:t>
      </w:r>
      <w:r>
        <w:t xml:space="preserve"> </w:t>
      </w:r>
      <w:r>
        <w:t xml:space="preserve">where the parameter space is camera viewpoint and walking-direction offset, is a third. In each</w:t>
      </w:r>
      <w:r>
        <w:t xml:space="preserve"> </w:t>
      </w:r>
      <w:r>
        <w:t xml:space="preserve">case the same two summary measures, boundary-AUC and the reliability score</w:t>
      </w:r>
      <w:r>
        <w:t xml:space="preserve"> </w:t>
      </w:r>
      <m:oMath>
        <m:r>
          <m:t>F</m:t>
        </m:r>
      </m:oMath>
      <w:r>
        <w:t xml:space="preserve">, would yield a</w:t>
      </w:r>
      <w:r>
        <w:t xml:space="preserve"> </w:t>
      </w:r>
      <w:r>
        <w:t xml:space="preserve">comparable quantitative deployment guideline. We leave these instantiations as future work and</w:t>
      </w:r>
      <w:r>
        <w:t xml:space="preserve"> </w:t>
      </w:r>
      <w:r>
        <w:t xml:space="preserve">present LPR here as a concrete first demonstration that the framework produces actionable</w:t>
      </w:r>
      <w:r>
        <w:t xml:space="preserve"> </w:t>
      </w:r>
      <w:r>
        <w:t xml:space="preserve">numbers.</w:t>
      </w:r>
    </w:p>
    <w:bookmarkEnd w:id="56"/>
    <w:bookmarkStart w:id="57" w:name="implications-for-smart-city-deployment"/>
    <w:p>
      <w:pPr>
        <w:pStyle w:val="Heading3"/>
        <w:keepNext/>
        <w:keepLines/>
        <w:widowControl w:val="1"/>
      </w:pPr>
      <w:r>
        <w:t xml:space="preserve">6.3. Implications for Smart City Deployment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The 93.4% maximal recoverability boundary provides a quantitative first-order planning guideline</w:t>
      </w:r>
      <w:r>
        <w:t xml:space="preserve"> </w:t>
      </w:r>
      <w:r>
        <w:t xml:space="preserve">for urban infrastructure. Under the assumptions of the benchmark, if the worst-case viewing angle</w:t>
      </w:r>
      <w:r>
        <w:t xml:space="preserve"> </w:t>
      </w:r>
      <w:r>
        <w:t xml:space="preserve">for a fixed sensor installation is bounded by $\alpha &lt; 80^\circ$ and $\beta &lt; 80^\circ$,</w:t>
      </w:r>
      <w:r>
        <w:t xml:space="preserve"> </w:t>
      </w:r>
      <w:r>
        <w:t xml:space="preserve">then software-only restoration</w:t>
      </w:r>
      <w:r>
        <w:t xml:space="preserve"> </w:t>
      </w:r>
      <w:r>
        <w:rPr>
          <w:i/>
          <w:iCs/>
        </w:rPr>
        <w:t xml:space="preserve">appears capable</w:t>
      </w:r>
      <w:r>
        <w:t xml:space="preserve"> </w:t>
      </w:r>
      <w:r>
        <w:t xml:space="preserve">of recovering legible plates without</w:t>
      </w:r>
      <w:r>
        <w:t xml:space="preserve"> </w:t>
      </w:r>
      <w:r>
        <w:t xml:space="preserve">hardware modification; this envelope covers the majority of practical ATM-camera,</w:t>
      </w:r>
      <w:r>
        <w:t xml:space="preserve"> </w:t>
      </w:r>
      <w:r>
        <w:t xml:space="preserve">body-worn-device, and streetlight-camera geometries, whereas sensors placed with extreme lateral</w:t>
      </w:r>
      <w:r>
        <w:t xml:space="preserve"> </w:t>
      </w:r>
      <w:r>
        <w:t xml:space="preserve">tilt and extreme elevation simultaneously fall outside it. Translating this guideline into a</w:t>
      </w:r>
      <w:r>
        <w:t xml:space="preserve"> </w:t>
      </w:r>
      <w:r>
        <w:t xml:space="preserve">deployment criterion requires the real-data validation discussed in Section 7.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Among the evaluated architectures, discriminative models are the clear operational choice: they</w:t>
      </w:r>
      <w:r>
        <w:t xml:space="preserve"> </w:t>
      </w:r>
      <w:r>
        <w:t xml:space="preserve">are easier to validate through explicit loss functions, more stable to train, and their PSNR</w:t>
      </w:r>
      <w:r>
        <w:t xml:space="preserve"> </w:t>
      </w:r>
      <w:r>
        <w:t xml:space="preserve">improvements translate directly to OCR gains (Eqs. 10–11). The hallucination behaviour</w:t>
      </w:r>
      <w:r>
        <w:t xml:space="preserve"> </w:t>
      </w:r>
      <w:r>
        <w:t xml:space="preserve">of Diffusion-SR3 under low signal is a serious liability in any identity-recognition setting,</w:t>
      </w:r>
      <w:r>
        <w:t xml:space="preserve"> </w:t>
      </w:r>
      <w:r>
        <w:t xml:space="preserve">since the model produces a visually clean plate with plausible but incorrect digits, a confident</w:t>
      </w:r>
      <w:r>
        <w:t xml:space="preserve"> </w:t>
      </w:r>
      <w:r>
        <w:t xml:space="preserve">false reading that a downstream confidence filter cannot distinguish from a correct one.</w:t>
      </w:r>
      <w:r>
        <w:t xml:space="preserve"> </w:t>
      </w:r>
      <w:r>
        <w:t xml:space="preserve">Discriminative models, by contrast, produce blurred or ambiguous outputs under the same</w:t>
      </w:r>
      <w:r>
        <w:t xml:space="preserve"> </w:t>
      </w:r>
      <w:r>
        <w:t xml:space="preserve">conditions, which such filters can reject. Among discriminative models, U-Net Conditional offers</w:t>
      </w:r>
      <w:r>
        <w:t xml:space="preserve"> </w:t>
      </w:r>
      <w:r>
        <w:t xml:space="preserve">the best operational tradeoff: accuracy within 2% of Restormer, only 1.19x the training cost of</w:t>
      </w:r>
      <w:r>
        <w:t xml:space="preserve"> </w:t>
      </w:r>
      <w:r>
        <w:t xml:space="preserve">the U-Net baseline, and the lowest inference latency (7.50 ms) of any model tested, which is</w:t>
      </w:r>
      <w:r>
        <w:t xml:space="preserve"> </w:t>
      </w:r>
      <w:r>
        <w:t xml:space="preserve">compatible with real-time processing of continuous fixed-sensor streams at over 100 frames per</w:t>
      </w:r>
      <w:r>
        <w:t xml:space="preserve"> </w:t>
      </w:r>
      <w:r>
        <w:t xml:space="preserve">second on a single GPU.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The</w:t>
      </w:r>
      <w:r>
        <w:t xml:space="preserve"> </w:t>
      </w:r>
      <m:oMath>
        <m:r>
          <m:t>α</m:t>
        </m:r>
        <m:r>
          <m:rPr>
            <m:sty m:val="p"/>
          </m:rPr>
          <m:t>/</m:t>
        </m:r>
        <m:r>
          <m:t>β</m:t>
        </m:r>
      </m:oMath>
      <w:r>
        <w:t xml:space="preserve"> </w:t>
      </w:r>
      <w:r>
        <w:t xml:space="preserve">asymmetry gives a practical corollary for camera placement: lateral mounting</w:t>
      </w:r>
      <w:r>
        <w:t xml:space="preserve"> </w:t>
      </w:r>
      <w:r>
        <w:t xml:space="preserve">angle (which determines</w:t>
      </w:r>
      <w:r>
        <w:t xml:space="preserve"> </w:t>
      </w:r>
      <m:oMath>
        <m:r>
          <m:t>α</m:t>
        </m:r>
      </m:oMath>
      <w:r>
        <w:t xml:space="preserve">) is a more critical variable than vertical elevation (which</w:t>
      </w:r>
      <w:r>
        <w:t xml:space="preserve"> </w:t>
      </w:r>
      <w:r>
        <w:t xml:space="preserve">determines</w:t>
      </w:r>
      <w:r>
        <w:t xml:space="preserve"> </w:t>
      </w:r>
      <m:oMath>
        <m:r>
          <m:t>β</m:t>
        </m:r>
      </m:oMath>
      <w:r>
        <w:t xml:space="preserve">). A camera mounted very high on a pole retains LPR capability across a wide</w:t>
      </w:r>
      <w:r>
        <w:t xml:space="preserve"> </w:t>
      </w:r>
      <w:r>
        <w:t xml:space="preserve">range of vehicle distances because the plate remains partially visible; a camera angled steeply</w:t>
      </w:r>
      <w:r>
        <w:t xml:space="preserve"> </w:t>
      </w:r>
      <w:r>
        <w:t xml:space="preserve">to the side loses digit separability earlier. Urban planners seeking to enable opportunistic LPR</w:t>
      </w:r>
      <w:r>
        <w:t xml:space="preserve"> </w:t>
      </w:r>
      <w:r>
        <w:t xml:space="preserve">from pole-mounted sensors should prioritise constraining the azimuthal angle over the elevational</w:t>
      </w:r>
      <w:r>
        <w:t xml:space="preserve"> </w:t>
      </w:r>
      <w:r>
        <w:t xml:space="preserve">angle in sensor placement guidelines.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Two additional deployment use-cases follow directly from the recoverability map:</w:t>
      </w:r>
    </w:p>
    <w:p>
      <w:pPr>
        <w:pStyle w:val="Compact"/>
        <w:numPr>
          <w:ilvl w:val="0"/>
          <w:numId w:val="1003"/>
        </w:numPr>
        <w:jc w:val="both"/>
        <w:keepNext w:val="0"/>
        <w:keepLines w:val="0"/>
        <w:widowControl w:val="1"/>
      </w:pPr>
      <w:r>
        <w:rPr>
          <w:b/>
          <w:bCs/>
        </w:rPr>
        <w:t xml:space="preserve">Forensic triage.</w:t>
      </w:r>
      <w:r>
        <w:t xml:space="preserve"> </w:t>
      </w:r>
      <w:r>
        <w:t xml:space="preserve">For retrospective case work on archived footage, the</w:t>
      </w:r>
      <w:r>
        <w:t xml:space="preserve"> </w:t>
      </w:r>
      <w:r>
        <w:t xml:space="preserve">recoverability map supports fast pre-screening: captures whose estimated</w:t>
      </w:r>
      <w:r>
        <w:t xml:space="preserve"> </w:t>
      </w:r>
      <m:oMath>
        <m:r>
          <m:rPr>
            <m:sty m:val="p"/>
          </m:rPr>
          <m:t>(</m:t>
        </m:r>
        <m:r>
          <m:t>α</m:t>
        </m:r>
        <m:r>
          <m:rPr>
            <m:sty m:val="p"/>
          </m:rPr>
          <m:t>,</m:t>
        </m:r>
        <m:r>
          <m:t>β</m:t>
        </m:r>
        <m:r>
          <m:rPr>
            <m:sty m:val="p"/>
          </m:rPr>
          <m:t>)</m:t>
        </m:r>
      </m:oMath>
      <w:r>
        <w:t xml:space="preserve"> </w:t>
      </w:r>
      <w:r>
        <w:t xml:space="preserve">fall in the upper-right corner ($\alpha, \beta &gt; 80^\circ$) can be flagged as unrecoverable</w:t>
      </w:r>
      <w:r>
        <w:t xml:space="preserve"> </w:t>
      </w:r>
      <w:r>
        <w:t xml:space="preserve">by any current method, saving analyst time.</w:t>
      </w:r>
    </w:p>
    <w:p>
      <w:pPr>
        <w:pStyle w:val="Compact"/>
        <w:numPr>
          <w:ilvl w:val="0"/>
          <w:numId w:val="1003"/>
        </w:numPr>
        <w:jc w:val="both"/>
        <w:keepNext w:val="0"/>
        <w:keepLines w:val="0"/>
        <w:widowControl w:val="1"/>
      </w:pPr>
      <w:r>
        <w:rPr>
          <w:b/>
          <w:bCs/>
        </w:rPr>
        <w:t xml:space="preserve">Expected-gain estimation.</w:t>
      </w:r>
      <w:r>
        <w:t xml:space="preserve"> </w:t>
      </w:r>
      <w:r>
        <w:t xml:space="preserve">Given a sensor portfolio with known geometry</w:t>
      </w:r>
      <w:r>
        <w:t xml:space="preserve"> </w:t>
      </w:r>
      <w:r>
        <w:t xml:space="preserve">distribution, overlaying that distribution on the recoverability map gives the</w:t>
      </w:r>
      <w:r>
        <w:t xml:space="preserve"> </w:t>
      </w:r>
      <w:r>
        <w:rPr>
          <w:i/>
          <w:iCs/>
        </w:rPr>
        <w:t xml:space="preserve">expected</w:t>
      </w:r>
      <w:r>
        <w:t xml:space="preserve"> </w:t>
      </w:r>
      <w:r>
        <w:t xml:space="preserve">fraction of captured vehicles that a restoration pipeline will render</w:t>
      </w:r>
      <w:r>
        <w:t xml:space="preserve"> </w:t>
      </w:r>
      <w:r>
        <w:t xml:space="preserve">readable, a quantity directly useful for ROI and procurement decisions.</w:t>
      </w:r>
    </w:p>
    <w:bookmarkEnd w:id="57"/>
    <w:bookmarkStart w:id="58" w:name="limitations"/>
    <w:p>
      <w:pPr>
        <w:pStyle w:val="Heading3"/>
        <w:keepNext/>
        <w:keepLines/>
        <w:widowControl w:val="1"/>
      </w:pPr>
      <w:r>
        <w:t xml:space="preserve">6.4. Limitations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The study has several bounded scope conditions that should be read alongside the headline results.</w:t>
      </w:r>
      <w:r>
        <w:t xml:space="preserve"> </w:t>
      </w:r>
      <w:r>
        <w:t xml:space="preserve">The benchmark is fully synthetic: clean plates are rendered in a single standard vehicle-plate</w:t>
      </w:r>
      <w:r>
        <w:t xml:space="preserve"> </w:t>
      </w:r>
      <w:r>
        <w:t xml:space="preserve">format at a fixed</w:t>
      </w:r>
      <w:r>
        <w:t xml:space="preserve"> </w:t>
      </w:r>
      <m:oMath>
        <m:r>
          <m:t>256</m:t>
        </m:r>
        <m:r>
          <m:rPr>
            <m:sty m:val="p"/>
          </m:rPr>
          <m:t>×</m:t>
        </m:r>
        <m:r>
          <m:t>64</m:t>
        </m:r>
      </m:oMath>
      <w:r>
        <w:t xml:space="preserve"> </w:t>
      </w:r>
      <w:r>
        <w:t xml:space="preserve">resolution, distorted by a fixed homographic pipeline at constant</w:t>
      </w:r>
      <w:r>
        <w:t xml:space="preserve"> </w:t>
      </w:r>
      <w:r>
        <w:t xml:space="preserve">focal length and plate-to-camera distance, and perturbed with Gaussian blur</w:t>
      </w:r>
      <w:r>
        <w:t xml:space="preserve"> </w:t>
      </w:r>
      <w:r>
        <w:t xml:space="preserve">(</w:t>
      </w:r>
      <m:oMath>
        <m:r>
          <m:t>σ</m:t>
        </m:r>
        <m:r>
          <m:rPr>
            <m:sty m:val="p"/>
          </m:rPr>
          <m:t>∈</m:t>
        </m:r>
        <m:r>
          <m:rPr>
            <m:sty m:val="p"/>
          </m:rPr>
          <m:t>[</m:t>
        </m:r>
        <m:r>
          <m:t>0.5</m:t>
        </m:r>
        <m:r>
          <m:rPr>
            <m:sty m:val="p"/>
          </m:rPr>
          <m:t>,</m:t>
        </m:r>
        <m:r>
          <m:t>1.5</m:t>
        </m:r>
        <m:r>
          <m:rPr>
            <m:sty m:val="p"/>
          </m:rPr>
          <m:t>]</m:t>
        </m:r>
      </m:oMath>
      <w:r>
        <w:t xml:space="preserve">), colour jitter, and JPEG compression (quality</w:t>
      </w:r>
      <w:r>
        <w:t xml:space="preserve"> </w:t>
      </w:r>
      <m:oMath>
        <m:r>
          <m:rPr>
            <m:sty m:val="p"/>
          </m:rPr>
          <m:t>∈</m:t>
        </m:r>
        <m:r>
          <m:rPr>
            <m:sty m:val="p"/>
          </m:rPr>
          <m:t>[</m:t>
        </m:r>
        <m:r>
          <m:t>55</m:t>
        </m:r>
        <m:r>
          <m:rPr>
            <m:sty m:val="p"/>
          </m:rPr>
          <m:t>,</m:t>
        </m:r>
        <m:r>
          <m:t>85</m:t>
        </m:r>
        <m:r>
          <m:rPr>
            <m:sty m:val="p"/>
          </m:rPr>
          <m:t>]</m:t>
        </m:r>
      </m:oMath>
      <w:r>
        <w:t xml:space="preserve">). Real</w:t>
      </w:r>
      <w:r>
        <w:t xml:space="preserve"> </w:t>
      </w:r>
      <w:r>
        <w:t xml:space="preserve">captures introduce additional effects not modelled here, including scale variation with vehicle</w:t>
      </w:r>
      <w:r>
        <w:t xml:space="preserve"> </w:t>
      </w:r>
      <w:r>
        <w:t xml:space="preserve">distance, motion blur, rolling-shutter skew, low-light noise, multi-font plate designs, dirt, and</w:t>
      </w:r>
      <w:r>
        <w:t xml:space="preserve"> </w:t>
      </w:r>
      <w:r>
        <w:t xml:space="preserve">partial occlusion. Absolute recoverability thresholds reported in this paper, including the</w:t>
      </w:r>
      <w:r>
        <w:t xml:space="preserve"> </w:t>
      </w:r>
      <m:oMath>
        <m:r>
          <m:t>93.4</m:t>
        </m:r>
        <m:r>
          <m:rPr>
            <m:sty m:val="p"/>
          </m:rPr>
          <m:t>%</m:t>
        </m:r>
      </m:oMath>
      <w:r>
        <w:t xml:space="preserve"> </w:t>
      </w:r>
      <w:r>
        <w:t xml:space="preserve">maximal coverage figure, therefore belong to the benchmark; the</w:t>
      </w:r>
      <w:r>
        <w:t xml:space="preserve"> </w:t>
      </w:r>
      <w:r>
        <w:rPr>
          <w:i/>
          <w:iCs/>
        </w:rPr>
        <w:t xml:space="preserve">structure</w:t>
      </w:r>
      <w:r>
        <w:t xml:space="preserve"> </w:t>
      </w:r>
      <w:r>
        <w:t xml:space="preserve">of the</w:t>
      </w:r>
      <w:r>
        <w:t xml:space="preserve"> </w:t>
      </w:r>
      <w:r>
        <w:t xml:space="preserve">recoverability space (the location of the boundary, the</w:t>
      </w:r>
      <w:r>
        <w:t xml:space="preserve"> </w:t>
      </w:r>
      <m:oMath>
        <m:r>
          <m:t>α</m:t>
        </m:r>
        <m:r>
          <m:rPr>
            <m:sty m:val="p"/>
          </m:rPr>
          <m:t>/</m:t>
        </m:r>
        <m:r>
          <m:t>β</m:t>
        </m:r>
      </m:oMath>
      <w:r>
        <w:t xml:space="preserve"> </w:t>
      </w:r>
      <w:r>
        <w:t xml:space="preserve">asymmetry, and the relative</w:t>
      </w:r>
      <w:r>
        <w:t xml:space="preserve"> </w:t>
      </w:r>
      <w:r>
        <w:t xml:space="preserve">ordering of architectures) is the transferable contribution.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The OCR back-end is Tesseract v4 with standard preprocessing (grayscale, contrast normalisation,</w:t>
      </w:r>
      <w:r>
        <w:t xml:space="preserve"> </w:t>
      </w:r>
      <m:oMath>
        <m:r>
          <m:t>2</m:t>
        </m:r>
        <m:r>
          <m:rPr>
            <m:sty m:val="p"/>
          </m:rPr>
          <m:t>×</m:t>
        </m:r>
      </m:oMath>
      <w:r>
        <w:t xml:space="preserve"> </w:t>
      </w:r>
      <w:r>
        <w:t xml:space="preserve">upscaling, binarisation, per-digit fallbacks). A stronger end-to-end plate-specific OCR</w:t>
      </w:r>
      <w:r>
        <w:t xml:space="preserve"> </w:t>
      </w:r>
      <w:r>
        <w:t xml:space="preserve">(for example PaddleOCR or a CRNN variant) would likely shift the absolute boundary numbers, though</w:t>
      </w:r>
      <w:r>
        <w:t xml:space="preserve"> </w:t>
      </w:r>
      <w:r>
        <w:t xml:space="preserve">the relative ranking of architectures is expected to remain stable.</w:t>
      </w:r>
    </w:p>
    <w:bookmarkEnd w:id="58"/>
    <w:bookmarkEnd w:id="59"/>
    <w:bookmarkStart w:id="60" w:name="conclusion"/>
    <w:p>
      <w:pPr>
        <w:pStyle w:val="Heading2"/>
        <w:keepNext/>
        <w:keepLines/>
        <w:widowControl w:val="1"/>
      </w:pPr>
      <w:r>
        <w:t xml:space="preserve">7. Conclusion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This paper introduced</w:t>
      </w:r>
      <w:r>
        <w:t xml:space="preserve"> </w:t>
      </w:r>
      <w:r>
        <w:rPr>
          <w:i/>
          <w:iCs/>
        </w:rPr>
        <w:t xml:space="preserve">recoverability maps</w:t>
      </w:r>
      <w:r>
        <w:t xml:space="preserve">, a task-agnostic framework for quantifying</w:t>
      </w:r>
      <w:r>
        <w:t xml:space="preserve"> </w:t>
      </w:r>
      <w:r>
        <w:t xml:space="preserve">where in a parameterised degradation space an opportunistic-sensing task remains reliable. The</w:t>
      </w:r>
      <w:r>
        <w:t xml:space="preserve"> </w:t>
      </w:r>
      <w:r>
        <w:t xml:space="preserve">framework builds on two summary measures adapted from classical operating-characteristic</w:t>
      </w:r>
      <w:r>
        <w:t xml:space="preserve"> </w:t>
      </w:r>
      <w:r>
        <w:t xml:space="preserve">analysis: a boundary area-under-curve that captures coverage, and a reliability score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that</w:t>
      </w:r>
      <w:r>
        <w:t xml:space="preserve"> </w:t>
      </w:r>
      <w:r>
        <w:t xml:space="preserve">captures interior consistency. We demonstrated the framework on oblique-view license plate</w:t>
      </w:r>
      <w:r>
        <w:t xml:space="preserve"> </w:t>
      </w:r>
      <w:r>
        <w:t xml:space="preserve">recognition as a concrete first instance.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Applied to LPR, the framework yields a sharp quantitative envelope. Approximately</w:t>
      </w:r>
      <w:r>
        <w:t xml:space="preserve"> </w:t>
      </w:r>
      <m:oMath>
        <m:r>
          <m:t>93.4</m:t>
        </m:r>
        <m:r>
          <m:rPr>
            <m:sty m:val="p"/>
          </m:rPr>
          <m:t>%</m:t>
        </m:r>
      </m:oMath>
      <w:r>
        <w:t xml:space="preserve"> </w:t>
      </w:r>
      <w:r>
        <w:t xml:space="preserve">of</w:t>
      </w:r>
      <w:r>
        <w:t xml:space="preserve"> </w:t>
      </w:r>
      <w:r>
        <w:t xml:space="preserve">the</w:t>
      </w:r>
      <w:r>
        <w:t xml:space="preserve"> </w:t>
      </w:r>
      <m:oMath>
        <m:r>
          <m:rPr>
            <m:sty m:val="p"/>
          </m:rPr>
          <m:t>[</m:t>
        </m:r>
        <m:sSup>
          <m:e>
            <m:r>
              <m:t>0</m:t>
            </m:r>
          </m:e>
          <m:sup>
            <m:r>
              <m:rPr>
                <m:sty m:val="p"/>
              </m:rPr>
              <m:t>∘</m:t>
            </m:r>
          </m:sup>
        </m:sSup>
        <m:r>
          <m:rPr>
            <m:sty m:val="p"/>
          </m:rPr>
          <m:t>,</m:t>
        </m:r>
        <m:sSup>
          <m:e>
            <m:r>
              <m:t>89</m:t>
            </m:r>
          </m:e>
          <m:sup>
            <m:r>
              <m:rPr>
                <m:sty m:val="p"/>
              </m:rPr>
              <m:t>∘</m:t>
            </m:r>
          </m:sup>
        </m:sSup>
        <m:sSup>
          <m:e>
            <m:r>
              <m:rPr>
                <m:sty m:val="p"/>
              </m:rPr>
              <m:t>]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angle grid is recoverable at</w:t>
      </w:r>
      <w:r>
        <w:t xml:space="preserve"> </w:t>
      </w:r>
      <m:oMath>
        <m:r>
          <m:rPr>
            <m:sty m:val="p"/>
          </m:rPr>
          <m:t>≥</m:t>
        </m:r>
        <m:r>
          <m:t>90</m:t>
        </m:r>
        <m:r>
          <m:rPr>
            <m:sty m:val="p"/>
          </m:rPr>
          <m:t>%</m:t>
        </m:r>
      </m:oMath>
      <w:r>
        <w:t xml:space="preserve"> </w:t>
      </w:r>
      <w:r>
        <w:t xml:space="preserve">plate OCR accuracy; beyond</w:t>
      </w:r>
      <w:r>
        <w:t xml:space="preserve"> </w:t>
      </w:r>
      <w:r>
        <w:t xml:space="preserve">roughly</w:t>
      </w:r>
      <w:r>
        <w:t xml:space="preserve"> </w:t>
      </w:r>
      <m:oMath>
        <m:sSup>
          <m:e>
            <m:r>
              <m:t>80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 </w:t>
      </w:r>
      <w:r>
        <w:t xml:space="preserve">in both axes simultaneously, none of the evaluated architectures extracts a</w:t>
      </w:r>
      <w:r>
        <w:t xml:space="preserve"> </w:t>
      </w:r>
      <w:r>
        <w:t xml:space="preserve">reliable plate number. The most intellectually load-bearing finding, however, is structural: all</w:t>
      </w:r>
      <w:r>
        <w:t xml:space="preserve"> </w:t>
      </w:r>
      <w:r>
        <w:t xml:space="preserve">five restoration architectures share the same</w:t>
      </w:r>
      <w:r>
        <w:t xml:space="preserve"> </w:t>
      </w:r>
      <m:oMath>
        <m:r>
          <m:t>α</m:t>
        </m:r>
        <m:r>
          <m:rPr>
            <m:sty m:val="p"/>
          </m:rPr>
          <m:t>/</m:t>
        </m:r>
        <m:r>
          <m:t>β</m:t>
        </m:r>
      </m:oMath>
      <w:r>
        <w:t xml:space="preserve"> </w:t>
      </w:r>
      <w:r>
        <w:t xml:space="preserve">asymmetry, in which lateral rotation</w:t>
      </w:r>
      <w:r>
        <w:t xml:space="preserve"> </w:t>
      </w:r>
      <w:r>
        <w:t xml:space="preserve">is consistently harder to correct than elevational rotation. This asymmetry is a property of the</w:t>
      </w:r>
      <w:r>
        <w:t xml:space="preserve"> </w:t>
      </w:r>
      <w:r>
        <w:t xml:space="preserve">input signal, namely the horizontal information geometry of the plate, rather than of any</w:t>
      </w:r>
      <w:r>
        <w:t xml:space="preserve"> </w:t>
      </w:r>
      <w:r>
        <w:t xml:space="preserve">particular network, and it carries directly into camera-placement guidance for urban</w:t>
      </w:r>
      <w:r>
        <w:t xml:space="preserve"> </w:t>
      </w:r>
      <w:r>
        <w:t xml:space="preserve">infrastructure. Discriminative architectures (U-Net, U-Net Conditional, Restormer) consistently</w:t>
      </w:r>
      <w:r>
        <w:t xml:space="preserve"> </w:t>
      </w:r>
      <w:r>
        <w:t xml:space="preserve">outperform generative alternatives (GAN-Pix2Pix, Diffusion-SR3) in coverage, consistency, and</w:t>
      </w:r>
      <w:r>
        <w:t xml:space="preserve"> </w:t>
      </w:r>
      <w:r>
        <w:t xml:space="preserve">reliability; the latter's hallucinations under low signal are a material liability for any</w:t>
      </w:r>
      <w:r>
        <w:t xml:space="preserve"> </w:t>
      </w:r>
      <w:r>
        <w:t xml:space="preserve">identity-recognition application. PSNR tracks OCR accuracy closely enough (</w:t>
      </w:r>
      <m:oMath>
        <m:sSup>
          <m:e>
            <m:r>
              <m:t>R</m:t>
            </m:r>
          </m:e>
          <m:sup>
            <m:r>
              <m:t>2</m:t>
            </m:r>
          </m:sup>
        </m:sSup>
        <m:r>
          <m:rPr>
            <m:sty m:val="p"/>
          </m:rPr>
          <m:t>≥</m:t>
        </m:r>
        <m:r>
          <m:t>0.979</m:t>
        </m:r>
      </m:oMath>
      <w:r>
        <w:t xml:space="preserve">) to</w:t>
      </w:r>
      <w:r>
        <w:t xml:space="preserve"> </w:t>
      </w:r>
      <w:r>
        <w:t xml:space="preserve">serve as a training-time surrogate, which materially simplifies the model-selection loop by</w:t>
      </w:r>
      <w:r>
        <w:t xml:space="preserve"> </w:t>
      </w:r>
      <w:r>
        <w:t xml:space="preserve">making OCR-in-the-loop validation unnecessary.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Within the benchmark, most oblique viewing angles yield recoverable plates, a small</w:t>
      </w:r>
      <w:r>
        <w:t xml:space="preserve"> </w:t>
      </w:r>
      <w:r>
        <w:t xml:space="preserve">double-extreme corner of the angle grid does not, and these findings, together with the framework</w:t>
      </w:r>
      <w:r>
        <w:t xml:space="preserve"> </w:t>
      </w:r>
      <w:r>
        <w:t xml:space="preserve">itself, transfer to a broader class of opportunistic-sensing problems. The absolute numbers</w:t>
      </w:r>
      <w:r>
        <w:t xml:space="preserve"> </w:t>
      </w:r>
      <w:r>
        <w:t xml:space="preserve">belong to the benchmark; the structural findings and the framework are the transferable</w:t>
      </w:r>
      <w:r>
        <w:t xml:space="preserve"> </w:t>
      </w:r>
      <w:r>
        <w:t xml:space="preserve">contribution.</w:t>
      </w:r>
    </w:p>
    <w:p>
      <w:pPr>
        <w:pStyle w:val="BodyText"/>
        <w:jc w:val="both"/>
        <w:keepNext w:val="0"/>
        <w:keepLines w:val="0"/>
        <w:widowControl w:val="1"/>
      </w:pPr>
      <w:r>
        <w:t xml:space="preserve">A natural future-work direction follows from the observation, already raised in the Introduction,</w:t>
      </w:r>
      <w:r>
        <w:t xml:space="preserve"> </w:t>
      </w:r>
      <w:r>
        <w:t xml:space="preserve">that public benchmarks do not sample the extreme parameter regimes in which opportunistic sensing</w:t>
      </w:r>
      <w:r>
        <w:t xml:space="preserve"> </w:t>
      </w:r>
      <w:r>
        <w:t xml:space="preserve">actually operates. Closing this gap, for LPR and for the candidate tasks listed in</w:t>
      </w:r>
      <w:r>
        <w:t xml:space="preserve"> </w:t>
      </w:r>
      <w:r>
        <w:t xml:space="preserve">Section 6.2, requires either synthetic benchmarks of the kind presented here (extended to</w:t>
      </w:r>
      <w:r>
        <w:t xml:space="preserve"> </w:t>
      </w:r>
      <w:r>
        <w:t xml:space="preserve">additional tasks and to richer acquisition models) or bespoke controlled-capture datasets that</w:t>
      </w:r>
      <w:r>
        <w:t xml:space="preserve"> </w:t>
      </w:r>
      <w:r>
        <w:t xml:space="preserve">systematically sweep the parameter space. Within LPR specifically, complementary next steps are</w:t>
      </w:r>
      <w:r>
        <w:t xml:space="preserve"> </w:t>
      </w:r>
      <w:r>
        <w:t xml:space="preserve">multi-seed statistics on</w:t>
      </w:r>
      <w:r>
        <w:t xml:space="preserve"> </w:t>
      </w:r>
      <m:oMath>
        <m:r>
          <m:t>F</m:t>
        </m:r>
      </m:oMath>
      <w:r>
        <w:t xml:space="preserve"> </w:t>
      </w:r>
      <w:r>
        <w:t xml:space="preserve">to establish confidence intervals on the architecture ordering, and</w:t>
      </w:r>
      <w:r>
        <w:t xml:space="preserve"> </w:t>
      </w:r>
      <w:r>
        <w:t xml:space="preserve">a sensitivity analysis with a stronger end-to-end plate OCR.</w:t>
      </w:r>
    </w:p>
    <w:bookmarkEnd w:id="60"/>
    <w:bookmarkStart w:id="61" w:name="author-contributions"/>
    <w:p>
      <w:pPr>
        <w:pStyle w:val="Heading2"/>
        <w:keepNext/>
        <w:keepLines/>
        <w:widowControl w:val="1"/>
      </w:pPr>
      <w:r>
        <w:t xml:space="preserve">Author Contributions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Conceptualization, A.A. and Y.A.; methodology, I.A., O.B.A. and A.A.; software, I.A. and O.B.A.;</w:t>
      </w:r>
      <w:r>
        <w:t xml:space="preserve"> </w:t>
      </w:r>
      <w:r>
        <w:t xml:space="preserve">validation, I.A., O.B.A. and A.A.; formal analysis, I.A., O.B.A. and A.A.; investigation, I.A.</w:t>
      </w:r>
      <w:r>
        <w:t xml:space="preserve"> </w:t>
      </w:r>
      <w:r>
        <w:t xml:space="preserve">and O.B.A.; data curation, I.A. and O.B.A.; writing, original draft preparation, I.A., O.B.A.</w:t>
      </w:r>
      <w:r>
        <w:t xml:space="preserve"> </w:t>
      </w:r>
      <w:r>
        <w:t xml:space="preserve">and A.A.; writing, review and editing, Y.A. and A.A.; visualization, I.A. and O.B.A.;</w:t>
      </w:r>
      <w:r>
        <w:t xml:space="preserve"> </w:t>
      </w:r>
      <w:r>
        <w:t xml:space="preserve">supervision, Y.A. and A.A.; project administration, A.A. All authors have read and agreed to</w:t>
      </w:r>
      <w:r>
        <w:t xml:space="preserve"> </w:t>
      </w:r>
      <w:r>
        <w:t xml:space="preserve">the published version of the manuscript.</w:t>
      </w:r>
    </w:p>
    <w:bookmarkEnd w:id="61"/>
    <w:bookmarkStart w:id="62" w:name="funding"/>
    <w:p>
      <w:pPr>
        <w:pStyle w:val="Heading2"/>
        <w:keepNext/>
        <w:keepLines/>
        <w:widowControl w:val="1"/>
      </w:pPr>
      <w:r>
        <w:t xml:space="preserve">Funding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This research received no external funding.</w:t>
      </w:r>
    </w:p>
    <w:bookmarkEnd w:id="62"/>
    <w:bookmarkStart w:id="63" w:name="institutional-review-board-statement"/>
    <w:p>
      <w:pPr>
        <w:pStyle w:val="Heading2"/>
        <w:keepNext/>
        <w:keepLines/>
        <w:widowControl w:val="1"/>
      </w:pPr>
      <w:r>
        <w:t xml:space="preserve">Institutional Review Board Statement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Not applicable. This study did not involve humans or animals; all license plate imagery used in</w:t>
      </w:r>
      <w:r>
        <w:t xml:space="preserve"> </w:t>
      </w:r>
      <w:r>
        <w:t xml:space="preserve">the benchmark is synthetically generated with randomly sampled digit strings.</w:t>
      </w:r>
    </w:p>
    <w:bookmarkEnd w:id="63"/>
    <w:bookmarkStart w:id="64" w:name="informed-consent-statement"/>
    <w:p>
      <w:pPr>
        <w:pStyle w:val="Heading2"/>
        <w:keepNext/>
        <w:keepLines/>
        <w:widowControl w:val="1"/>
      </w:pPr>
      <w:r>
        <w:t xml:space="preserve">Informed Consent Statement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Not applicable.</w:t>
      </w:r>
    </w:p>
    <w:bookmarkEnd w:id="64"/>
    <w:bookmarkStart w:id="65" w:name="data-and-code-availability"/>
    <w:p>
      <w:pPr>
        <w:pStyle w:val="Heading2"/>
        <w:keepNext/>
        <w:keepLines/>
        <w:widowControl w:val="1"/>
      </w:pPr>
      <w:r>
        <w:t xml:space="preserve">Data and Code Availability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The companion repository for this paper is hosted at</w:t>
      </w:r>
      <w:r>
        <w:t xml:space="preserve"> </w:t>
      </w:r>
      <w:hyperlink r:id="rId10">
        <w:r>
          <w:rPr>
            <w:rStyle w:val="Hyperlink"/>
          </w:rPr>
          <w:t xml:space="preserve">https://github.com/apartsin/OpportunisticSensing4LPR</w:t>
        </w:r>
      </w:hyperlink>
      <w:r>
        <w:t xml:space="preserve"> </w:t>
      </w:r>
      <w:r>
        <w:t xml:space="preserve">and contains the paper (HTML and MS Word), all figures used in the manuscript, the</w:t>
      </w:r>
      <w:r>
        <w:t xml:space="preserve"> </w:t>
      </w:r>
      <w:r>
        <w:t xml:space="preserve">figure-generation scripts required to reproduce the plots, the five restoration-architecture</w:t>
      </w:r>
      <w:r>
        <w:t xml:space="preserve"> </w:t>
      </w:r>
      <w:r>
        <w:t xml:space="preserve">implementations (U-Net, angle-conditioned U-Net, Restormer, Pix2Pix, SR3 diffusion), and</w:t>
      </w:r>
      <w:r>
        <w:t xml:space="preserve"> </w:t>
      </w:r>
      <w:r>
        <w:t xml:space="preserve">notebooks covering the Scrambled Sobol angle sampling, the full-grid evaluation harness, and</w:t>
      </w:r>
      <w:r>
        <w:t xml:space="preserve"> </w:t>
      </w:r>
      <w:r>
        <w:t xml:space="preserve">the Tesseract v4 OCR pipeline described in Section 4. The synthetic datasets analysed in</w:t>
      </w:r>
      <w:r>
        <w:t xml:space="preserve"> </w:t>
      </w:r>
      <w:r>
        <w:t xml:space="preserve">this study are not redistributed as static files; they are fully and deterministically</w:t>
      </w:r>
      <w:r>
        <w:t xml:space="preserve"> </w:t>
      </w:r>
      <w:r>
        <w:t xml:space="preserve">reproducible by re-running the sampling notebook with the Sobol seeds and distortion-pipeline</w:t>
      </w:r>
      <w:r>
        <w:t xml:space="preserve"> </w:t>
      </w:r>
      <w:r>
        <w:t xml:space="preserve">parameters documented in Section 4.1 and Table 1, which yields bit-identical</w:t>
      </w:r>
      <w:r>
        <w:t xml:space="preserve"> </w:t>
      </w:r>
      <w:r>
        <w:t xml:space="preserve">training, validation, and test splits. Pre-computed per-angle-pair evaluation results used to</w:t>
      </w:r>
      <w:r>
        <w:t xml:space="preserve"> </w:t>
      </w:r>
      <w:r>
        <w:t xml:space="preserve">produce the figures and tables are available from the corresponding author on request.</w:t>
      </w:r>
      <w:r>
        <w:t xml:space="preserve"> </w:t>
      </w:r>
      <w:r>
        <w:t xml:space="preserve">A DOI-minted Zenodo snapshot of the final repository release will accompany the peer-reviewed</w:t>
      </w:r>
      <w:r>
        <w:t xml:space="preserve"> </w:t>
      </w:r>
      <w:r>
        <w:t xml:space="preserve">version of the paper.</w:t>
      </w:r>
    </w:p>
    <w:bookmarkEnd w:id="65"/>
    <w:bookmarkStart w:id="66" w:name="conflicts-of-interest"/>
    <w:p>
      <w:pPr>
        <w:pStyle w:val="Heading2"/>
        <w:keepNext/>
        <w:keepLines/>
        <w:widowControl w:val="1"/>
      </w:pPr>
      <w:r>
        <w:t xml:space="preserve">Conflicts of Interest</w:t>
      </w:r>
    </w:p>
    <w:p>
      <w:pPr>
        <w:pStyle w:val="FirstParagraph"/>
        <w:jc w:val="both"/>
        <w:keepNext w:val="0"/>
        <w:keepLines w:val="0"/>
        <w:widowControl w:val="1"/>
      </w:pPr>
      <w:r>
        <w:t xml:space="preserve">The authors declare no conflict of interest.</w:t>
      </w:r>
    </w:p>
    <w:bookmarkEnd w:id="66"/>
    <w:bookmarkStart w:id="135" w:name="references"/>
    <w:p>
      <w:pPr>
        <w:pStyle w:val="ReferencesHeading"/>
        <w:jc w:val="left"/>
        <w:keepNext/>
        <w:keepLines/>
        <w:widowControl w:val="1"/>
      </w:pPr>
      <w:r>
        <w:t xml:space="preserve">References</w:t>
      </w:r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68" w:name="r1"/>
      <w:r>
        <w:t xml:space="preserve">[1]</w:t>
      </w:r>
      <w:r>
        <w:t xml:space="preserve"> </w:t>
      </w:r>
      <w:r>
        <w:t xml:space="preserve">Ronneberger, O., Fischer, P., &amp; Brox, T. (2015). U-net: Convolutional networks for</w:t>
      </w:r>
      <w:r>
        <w:t xml:space="preserve"> </w:t>
      </w:r>
      <w:r>
        <w:t xml:space="preserve">biomedical image segmentation. In</w:t>
      </w:r>
      <w:r>
        <w:t xml:space="preserve"> </w:t>
      </w:r>
      <w:r>
        <w:rPr>
          <w:i/>
          <w:iCs/>
        </w:rPr>
        <w:t xml:space="preserve">Medical Image Computing and Computer-Assisted</w:t>
      </w:r>
      <w:r>
        <w:rPr>
          <w:i/>
          <w:iCs/>
        </w:rPr>
        <w:t xml:space="preserve"> </w:t>
      </w:r>
      <w:r>
        <w:rPr>
          <w:i/>
          <w:iCs/>
        </w:rPr>
        <w:t xml:space="preserve">Intervention (MICCAI)</w:t>
      </w:r>
      <w:r>
        <w:t xml:space="preserve"> </w:t>
      </w:r>
      <w:r>
        <w:t xml:space="preserve">(pp. 234–241). Springer.</w:t>
      </w:r>
      <w:r>
        <w:t xml:space="preserve"> </w:t>
      </w:r>
      <w:hyperlink r:id="rId67">
        <w:r>
          <w:rPr>
            <w:rStyle w:val="Hyperlink"/>
          </w:rPr>
          <w:t xml:space="preserve">https://doi.org/10.1007/978-3-319-24574-4_28</w:t>
        </w:r>
      </w:hyperlink>
      <w:bookmarkEnd w:id="68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70" w:name="r2"/>
      <w:r>
        <w:t xml:space="preserve">[2]</w:t>
      </w:r>
      <w:r>
        <w:t xml:space="preserve"> </w:t>
      </w:r>
      <w:r>
        <w:t xml:space="preserve">Zamir, S. W., Arora, A., Khan, S., Hayat, M., Khan, F. S., &amp; Yang, M. H. (2022).</w:t>
      </w:r>
      <w:r>
        <w:t xml:space="preserve"> </w:t>
      </w:r>
      <w:r>
        <w:t xml:space="preserve">Restormer: Efficient transformer for high-resolution image restoration. In</w:t>
      </w:r>
      <w:r>
        <w:t xml:space="preserve"> </w:t>
      </w:r>
      <w:r>
        <w:rPr>
          <w:i/>
          <w:iCs/>
        </w:rPr>
        <w:t xml:space="preserve">Proceedings of the IEEE/CVF Conference on Computer Vision and Pattern Recognition</w:t>
      </w:r>
      <w:r>
        <w:rPr>
          <w:i/>
          <w:iCs/>
        </w:rPr>
        <w:t xml:space="preserve"> </w:t>
      </w:r>
      <w:r>
        <w:rPr>
          <w:i/>
          <w:iCs/>
        </w:rPr>
        <w:t xml:space="preserve">(CVPR)</w:t>
      </w:r>
      <w:r>
        <w:t xml:space="preserve"> </w:t>
      </w:r>
      <w:r>
        <w:t xml:space="preserve">(pp. 5728–5739).</w:t>
      </w:r>
      <w:r>
        <w:t xml:space="preserve"> </w:t>
      </w:r>
      <w:hyperlink r:id="rId69">
        <w:r>
          <w:rPr>
            <w:rStyle w:val="Hyperlink"/>
          </w:rPr>
          <w:t xml:space="preserve">https://doi.org/10.1109/CVPR52688.2022.00564</w:t>
        </w:r>
      </w:hyperlink>
      <w:bookmarkEnd w:id="70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72" w:name="r3"/>
      <w:r>
        <w:t xml:space="preserve">[3]</w:t>
      </w:r>
      <w:r>
        <w:t xml:space="preserve"> </w:t>
      </w:r>
      <w:r>
        <w:t xml:space="preserve">Isola, P., Zhu, J.-Y., Zhou, T., &amp; Efros, A. A. (2017). Image-to-image translation</w:t>
      </w:r>
      <w:r>
        <w:t xml:space="preserve"> </w:t>
      </w:r>
      <w:r>
        <w:t xml:space="preserve">with conditional adversarial networks. In</w:t>
      </w:r>
      <w:r>
        <w:t xml:space="preserve"> </w:t>
      </w:r>
      <w:r>
        <w:rPr>
          <w:i/>
          <w:iCs/>
        </w:rPr>
        <w:t xml:space="preserve">Proceedings of the IEEE Conference on</w:t>
      </w:r>
      <w:r>
        <w:rPr>
          <w:i/>
          <w:iCs/>
        </w:rPr>
        <w:t xml:space="preserve"> </w:t>
      </w:r>
      <w:r>
        <w:rPr>
          <w:i/>
          <w:iCs/>
        </w:rPr>
        <w:t xml:space="preserve">Computer Vision and Pattern Recognition (CVPR)</w:t>
      </w:r>
      <w:r>
        <w:t xml:space="preserve"> </w:t>
      </w:r>
      <w:r>
        <w:t xml:space="preserve">(pp. 1125–1134).</w:t>
      </w:r>
      <w:r>
        <w:t xml:space="preserve"> </w:t>
      </w:r>
      <w:hyperlink r:id="rId71">
        <w:r>
          <w:rPr>
            <w:rStyle w:val="Hyperlink"/>
          </w:rPr>
          <w:t xml:space="preserve">https://doi.org/10.1109/CVPR.2017.632</w:t>
        </w:r>
      </w:hyperlink>
      <w:bookmarkEnd w:id="72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74" w:name="r4"/>
      <w:r>
        <w:t xml:space="preserve">[4]</w:t>
      </w:r>
      <w:r>
        <w:t xml:space="preserve"> </w:t>
      </w:r>
      <w:r>
        <w:t xml:space="preserve">Ho, J., Jain, A., &amp; Abbeel, P. (2020). Denoising diffusion probabilistic models.</w:t>
      </w:r>
      <w:r>
        <w:t xml:space="preserve"> </w:t>
      </w:r>
      <w:r>
        <w:rPr>
          <w:i/>
          <w:iCs/>
        </w:rPr>
        <w:t xml:space="preserve">Advances in Neural Information Processing Systems</w:t>
      </w:r>
      <w:r>
        <w:t xml:space="preserve">,</w:t>
      </w:r>
      <w:r>
        <w:t xml:space="preserve"> </w:t>
      </w:r>
      <w:r>
        <w:rPr>
          <w:i/>
          <w:iCs/>
        </w:rPr>
        <w:t xml:space="preserve">33</w:t>
      </w:r>
      <w:r>
        <w:t xml:space="preserve">, 6840–6851.</w:t>
      </w:r>
      <w:r>
        <w:t xml:space="preserve"> </w:t>
      </w:r>
      <w:hyperlink r:id="rId73">
        <w:r>
          <w:rPr>
            <w:rStyle w:val="Hyperlink"/>
          </w:rPr>
          <w:t xml:space="preserve">https://arxiv.org/abs/2006.11239</w:t>
        </w:r>
      </w:hyperlink>
      <w:bookmarkEnd w:id="74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76" w:name="r5"/>
      <w:r>
        <w:t xml:space="preserve">[5]</w:t>
      </w:r>
      <w:r>
        <w:t xml:space="preserve"> </w:t>
      </w:r>
      <w:r>
        <w:t xml:space="preserve">Song, J., Meng, C., &amp; Ermon, S. (2021). Denoising diffusion implicit models.</w:t>
      </w:r>
      <w:r>
        <w:t xml:space="preserve"> </w:t>
      </w:r>
      <w:r>
        <w:t xml:space="preserve">In</w:t>
      </w:r>
      <w:r>
        <w:t xml:space="preserve"> </w:t>
      </w:r>
      <w:r>
        <w:rPr>
          <w:i/>
          <w:iCs/>
        </w:rPr>
        <w:t xml:space="preserve">International Conference on Learning Representations (ICLR)</w:t>
      </w:r>
      <w:r>
        <w:t xml:space="preserve">.</w:t>
      </w:r>
      <w:r>
        <w:t xml:space="preserve"> </w:t>
      </w:r>
      <w:hyperlink r:id="rId75">
        <w:r>
          <w:rPr>
            <w:rStyle w:val="Hyperlink"/>
          </w:rPr>
          <w:t xml:space="preserve">https://arxiv.org/abs/2010.02502</w:t>
        </w:r>
      </w:hyperlink>
      <w:bookmarkEnd w:id="76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77" w:name="r6"/>
      <w:r>
        <w:t xml:space="preserve">[6]</w:t>
      </w:r>
      <w:r>
        <w:t xml:space="preserve"> </w:t>
      </w:r>
      <w:r>
        <w:t xml:space="preserve">Burhenne, S., Jacob, D., &amp; Henze, G. P. (2011). Sampling based on Sobol' sequences</w:t>
      </w:r>
      <w:r>
        <w:t xml:space="preserve"> </w:t>
      </w:r>
      <w:r>
        <w:t xml:space="preserve">for Monte Carlo techniques applied to building simulations. In</w:t>
      </w:r>
      <w:r>
        <w:t xml:space="preserve"> </w:t>
      </w:r>
      <w:r>
        <w:rPr>
          <w:i/>
          <w:iCs/>
        </w:rPr>
        <w:t xml:space="preserve">Proceedings of Building Simulation 2011</w:t>
      </w:r>
      <w:r>
        <w:t xml:space="preserve"> </w:t>
      </w:r>
      <w:r>
        <w:t xml:space="preserve">(pp. 1816–1823). IBPSA.</w:t>
      </w:r>
      <w:bookmarkEnd w:id="77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79" w:name="r7"/>
      <w:r>
        <w:t xml:space="preserve">[7]</w:t>
      </w:r>
      <w:r>
        <w:t xml:space="preserve"> </w:t>
      </w:r>
      <w:r>
        <w:t xml:space="preserve">Shashirangana, J., Padmasiri, H., Meedeniya, D., &amp; Perera, C. (2021). Automated</w:t>
      </w:r>
      <w:r>
        <w:t xml:space="preserve"> </w:t>
      </w:r>
      <w:r>
        <w:t xml:space="preserve">license plate recognition: A survey on methods and datasets.</w:t>
      </w:r>
      <w:r>
        <w:t xml:space="preserve"> </w:t>
      </w:r>
      <w:r>
        <w:rPr>
          <w:i/>
          <w:iCs/>
        </w:rPr>
        <w:t xml:space="preserve">IEEE Access</w:t>
      </w:r>
      <w:r>
        <w:t xml:space="preserve">,</w:t>
      </w:r>
      <w:r>
        <w:t xml:space="preserve"> </w:t>
      </w:r>
      <w:r>
        <w:rPr>
          <w:i/>
          <w:iCs/>
        </w:rPr>
        <w:t xml:space="preserve">9</w:t>
      </w:r>
      <w:r>
        <w:t xml:space="preserve">, 11203–11228.</w:t>
      </w:r>
      <w:r>
        <w:t xml:space="preserve"> </w:t>
      </w:r>
      <w:hyperlink r:id="rId78">
        <w:r>
          <w:rPr>
            <w:rStyle w:val="Hyperlink"/>
          </w:rPr>
          <w:t xml:space="preserve">https://doi.org/10.1109/ACCESS.2020.3047929</w:t>
        </w:r>
      </w:hyperlink>
      <w:bookmarkEnd w:id="79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81" w:name="r8"/>
      <w:r>
        <w:t xml:space="preserve">[8]</w:t>
      </w:r>
      <w:r>
        <w:t xml:space="preserve"> </w:t>
      </w:r>
      <w:r>
        <w:t xml:space="preserve">Anagnostopoulos, C. N. E., Anagnostopoulos, I. E., Psoroulas, I. D., &amp; Kayafas, E.</w:t>
      </w:r>
      <w:r>
        <w:t xml:space="preserve"> </w:t>
      </w:r>
      <w:r>
        <w:t xml:space="preserve">(2008). License plate recognition from still images and video sequences: A survey.</w:t>
      </w:r>
      <w:r>
        <w:t xml:space="preserve"> </w:t>
      </w:r>
      <w:r>
        <w:rPr>
          <w:i/>
          <w:iCs/>
        </w:rPr>
        <w:t xml:space="preserve">IEEE Transactions on Intelligent Transportation Systems</w:t>
      </w:r>
      <w:r>
        <w:t xml:space="preserve">,</w:t>
      </w:r>
      <w:r>
        <w:t xml:space="preserve"> </w:t>
      </w:r>
      <w:r>
        <w:rPr>
          <w:i/>
          <w:iCs/>
        </w:rPr>
        <w:t xml:space="preserve">9</w:t>
      </w:r>
      <w:r>
        <w:t xml:space="preserve">(3), 377–391.</w:t>
      </w:r>
      <w:r>
        <w:t xml:space="preserve"> </w:t>
      </w:r>
      <w:hyperlink r:id="rId80">
        <w:r>
          <w:rPr>
            <w:rStyle w:val="Hyperlink"/>
          </w:rPr>
          <w:t xml:space="preserve">https://doi.org/10.1109/TITS.2008.922938</w:t>
        </w:r>
      </w:hyperlink>
      <w:bookmarkEnd w:id="81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83" w:name="r9"/>
      <w:r>
        <w:t xml:space="preserve">[9]</w:t>
      </w:r>
      <w:r>
        <w:t xml:space="preserve"> </w:t>
      </w:r>
      <w:r>
        <w:t xml:space="preserve">Campbell, A. T., Eisenman, S. B., Lane, N. D., Miluzzo, E., &amp; Peterson, R. A. (2008).</w:t>
      </w:r>
      <w:r>
        <w:t xml:space="preserve"> </w:t>
      </w:r>
      <w:r>
        <w:t xml:space="preserve">The rise of people-centric sensing.</w:t>
      </w:r>
      <w:r>
        <w:t xml:space="preserve"> </w:t>
      </w:r>
      <w:r>
        <w:rPr>
          <w:i/>
          <w:iCs/>
        </w:rPr>
        <w:t xml:space="preserve">IEEE Internet Computing</w:t>
      </w:r>
      <w:r>
        <w:t xml:space="preserve">,</w:t>
      </w:r>
      <w:r>
        <w:t xml:space="preserve"> </w:t>
      </w:r>
      <w:r>
        <w:rPr>
          <w:i/>
          <w:iCs/>
        </w:rPr>
        <w:t xml:space="preserve">12</w:t>
      </w:r>
      <w:r>
        <w:t xml:space="preserve">(4), 12–21.</w:t>
      </w:r>
      <w:r>
        <w:t xml:space="preserve"> </w:t>
      </w:r>
      <w:hyperlink r:id="rId82">
        <w:r>
          <w:rPr>
            <w:rStyle w:val="Hyperlink"/>
          </w:rPr>
          <w:t xml:space="preserve">https://doi.org/10.1109/MIC.2008.90</w:t>
        </w:r>
      </w:hyperlink>
      <w:bookmarkEnd w:id="83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85" w:name="r10"/>
      <w:r>
        <w:t xml:space="preserve">[10]</w:t>
      </w:r>
      <w:r>
        <w:t xml:space="preserve"> </w:t>
      </w:r>
      <w:r>
        <w:t xml:space="preserve">Ganti, R. K., Ye, F., &amp; Lei, H. (2011). Mobile crowdsensing: Current state and future</w:t>
      </w:r>
      <w:r>
        <w:t xml:space="preserve"> </w:t>
      </w:r>
      <w:r>
        <w:t xml:space="preserve">challenges.</w:t>
      </w:r>
      <w:r>
        <w:t xml:space="preserve"> </w:t>
      </w:r>
      <w:r>
        <w:rPr>
          <w:i/>
          <w:iCs/>
        </w:rPr>
        <w:t xml:space="preserve">IEEE Communications Magazine</w:t>
      </w:r>
      <w:r>
        <w:t xml:space="preserve">,</w:t>
      </w:r>
      <w:r>
        <w:t xml:space="preserve"> </w:t>
      </w:r>
      <w:r>
        <w:rPr>
          <w:i/>
          <w:iCs/>
        </w:rPr>
        <w:t xml:space="preserve">49</w:t>
      </w:r>
      <w:r>
        <w:t xml:space="preserve">(11), 32–39.</w:t>
      </w:r>
      <w:r>
        <w:t xml:space="preserve"> </w:t>
      </w:r>
      <w:hyperlink r:id="rId84">
        <w:r>
          <w:rPr>
            <w:rStyle w:val="Hyperlink"/>
          </w:rPr>
          <w:t xml:space="preserve">https://doi.org/10.1109/MCOM.2011.6069707</w:t>
        </w:r>
      </w:hyperlink>
      <w:bookmarkEnd w:id="85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86" w:name="r12"/>
      <w:r>
        <w:t xml:space="preserve">[12]</w:t>
      </w:r>
      <w:r>
        <w:t xml:space="preserve"> </w:t>
      </w:r>
      <w:r>
        <w:t xml:space="preserve">Batty, M. (2013).</w:t>
      </w:r>
      <w:r>
        <w:t xml:space="preserve"> </w:t>
      </w:r>
      <w:r>
        <w:rPr>
          <w:i/>
          <w:iCs/>
        </w:rPr>
        <w:t xml:space="preserve">The new science of cities</w:t>
      </w:r>
      <w:r>
        <w:t xml:space="preserve">. MIT Press.</w:t>
      </w:r>
      <w:bookmarkEnd w:id="86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88" w:name="r13"/>
      <w:r>
        <w:t xml:space="preserve">[13]</w:t>
      </w:r>
      <w:r>
        <w:t xml:space="preserve"> </w:t>
      </w:r>
      <w:r>
        <w:t xml:space="preserve">Kitchin, R. (2014). The real-time city? Big data and smart urbanism.</w:t>
      </w:r>
      <w:r>
        <w:t xml:space="preserve"> </w:t>
      </w:r>
      <w:r>
        <w:rPr>
          <w:i/>
          <w:iCs/>
        </w:rPr>
        <w:t xml:space="preserve">GeoJournal</w:t>
      </w:r>
      <w:r>
        <w:t xml:space="preserve">,</w:t>
      </w:r>
      <w:r>
        <w:t xml:space="preserve"> </w:t>
      </w:r>
      <w:r>
        <w:rPr>
          <w:i/>
          <w:iCs/>
        </w:rPr>
        <w:t xml:space="preserve">79</w:t>
      </w:r>
      <w:r>
        <w:t xml:space="preserve">(1), 1–14.</w:t>
      </w:r>
      <w:r>
        <w:t xml:space="preserve"> </w:t>
      </w:r>
      <w:hyperlink r:id="rId87">
        <w:r>
          <w:rPr>
            <w:rStyle w:val="Hyperlink"/>
          </w:rPr>
          <w:t xml:space="preserve">https://doi.org/10.1007/s10708-013-9516-8</w:t>
        </w:r>
      </w:hyperlink>
      <w:bookmarkEnd w:id="88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90" w:name="r14"/>
      <w:r>
        <w:t xml:space="preserve">[14]</w:t>
      </w:r>
      <w:r>
        <w:t xml:space="preserve"> </w:t>
      </w:r>
      <w:r>
        <w:t xml:space="preserve">Goodchild, M. F. (2007). Citizens as sensors: The world of volunteered geographic</w:t>
      </w:r>
      <w:r>
        <w:t xml:space="preserve"> </w:t>
      </w:r>
      <w:r>
        <w:t xml:space="preserve">information.</w:t>
      </w:r>
      <w:r>
        <w:t xml:space="preserve"> </w:t>
      </w:r>
      <w:r>
        <w:rPr>
          <w:i/>
          <w:iCs/>
        </w:rPr>
        <w:t xml:space="preserve">GeoJournal</w:t>
      </w:r>
      <w:r>
        <w:t xml:space="preserve">,</w:t>
      </w:r>
      <w:r>
        <w:t xml:space="preserve"> </w:t>
      </w:r>
      <w:r>
        <w:rPr>
          <w:i/>
          <w:iCs/>
        </w:rPr>
        <w:t xml:space="preserve">69</w:t>
      </w:r>
      <w:r>
        <w:t xml:space="preserve">(4), 211–221.</w:t>
      </w:r>
      <w:r>
        <w:t xml:space="preserve"> </w:t>
      </w:r>
      <w:hyperlink r:id="rId89">
        <w:r>
          <w:rPr>
            <w:rStyle w:val="Hyperlink"/>
          </w:rPr>
          <w:t xml:space="preserve">https://doi.org/10.1007/s10708-007-9111-y</w:t>
        </w:r>
      </w:hyperlink>
      <w:bookmarkEnd w:id="90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92" w:name="r15"/>
      <w:r>
        <w:t xml:space="preserve">[15]</w:t>
      </w:r>
      <w:r>
        <w:t xml:space="preserve"> </w:t>
      </w:r>
      <w:r>
        <w:t xml:space="preserve">Chen, X., Li, Z., Pu, Y., Liu, Y., Zhou, J., Qiao, Y., &amp; Dong, C. (2024).</w:t>
      </w:r>
      <w:r>
        <w:t xml:space="preserve"> </w:t>
      </w:r>
      <w:r>
        <w:t xml:space="preserve">A comparative study of image restoration networks for general backbone network design.</w:t>
      </w:r>
      <w:r>
        <w:t xml:space="preserve"> </w:t>
      </w:r>
      <w:r>
        <w:t xml:space="preserve">In</w:t>
      </w:r>
      <w:r>
        <w:t xml:space="preserve"> </w:t>
      </w:r>
      <w:r>
        <w:rPr>
          <w:i/>
          <w:iCs/>
        </w:rPr>
        <w:t xml:space="preserve">European Conference on Computer Vision (ECCV)</w:t>
      </w:r>
      <w:r>
        <w:t xml:space="preserve">.</w:t>
      </w:r>
      <w:r>
        <w:t xml:space="preserve"> </w:t>
      </w:r>
      <w:hyperlink r:id="rId91">
        <w:r>
          <w:rPr>
            <w:rStyle w:val="Hyperlink"/>
          </w:rPr>
          <w:t xml:space="preserve">https://arxiv.org/abs/2310.11881</w:t>
        </w:r>
      </w:hyperlink>
      <w:bookmarkEnd w:id="92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94" w:name="r16"/>
      <w:r>
        <w:t xml:space="preserve">[16]</w:t>
      </w:r>
      <w:r>
        <w:t xml:space="preserve"> </w:t>
      </w:r>
      <w:r>
        <w:t xml:space="preserve">Joe, S., &amp; Kuo, F. Y. (2008). Constructing Sobol sequences with better</w:t>
      </w:r>
      <w:r>
        <w:t xml:space="preserve"> </w:t>
      </w:r>
      <w:r>
        <w:t xml:space="preserve">two-dimensional projections.</w:t>
      </w:r>
      <w:r>
        <w:t xml:space="preserve"> </w:t>
      </w:r>
      <w:r>
        <w:rPr>
          <w:i/>
          <w:iCs/>
        </w:rPr>
        <w:t xml:space="preserve">SIAM Journal on Scientific Computing</w:t>
      </w:r>
      <w:r>
        <w:t xml:space="preserve">,</w:t>
      </w:r>
      <w:r>
        <w:t xml:space="preserve"> </w:t>
      </w:r>
      <w:r>
        <w:rPr>
          <w:i/>
          <w:iCs/>
        </w:rPr>
        <w:t xml:space="preserve">30</w:t>
      </w:r>
      <w:r>
        <w:t xml:space="preserve">(5), 2635–2654.</w:t>
      </w:r>
      <w:r>
        <w:t xml:space="preserve"> </w:t>
      </w:r>
      <w:hyperlink r:id="rId93">
        <w:r>
          <w:rPr>
            <w:rStyle w:val="Hyperlink"/>
          </w:rPr>
          <w:t xml:space="preserve">https://doi.org/10.1137/070709359</w:t>
        </w:r>
      </w:hyperlink>
      <w:bookmarkEnd w:id="94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96" w:name="r17"/>
      <w:r>
        <w:t xml:space="preserve">[17]</w:t>
      </w:r>
      <w:r>
        <w:t xml:space="preserve"> </w:t>
      </w:r>
      <w:r>
        <w:t xml:space="preserve">Wang, Z., Cun, X., Bao, J., Zhou, W., Liu, J., &amp; Li, H. (2022). Uformer: A general</w:t>
      </w:r>
      <w:r>
        <w:t xml:space="preserve"> </w:t>
      </w:r>
      <w:r>
        <w:t xml:space="preserve">U-shaped transformer for image restoration. In</w:t>
      </w:r>
      <w:r>
        <w:t xml:space="preserve"> </w:t>
      </w:r>
      <w:r>
        <w:rPr>
          <w:i/>
          <w:iCs/>
        </w:rPr>
        <w:t xml:space="preserve">Proceedings of the IEEE/CVF Conference</w:t>
      </w:r>
      <w:r>
        <w:rPr>
          <w:i/>
          <w:iCs/>
        </w:rPr>
        <w:t xml:space="preserve"> </w:t>
      </w:r>
      <w:r>
        <w:rPr>
          <w:i/>
          <w:iCs/>
        </w:rPr>
        <w:t xml:space="preserve">on Computer Vision and Pattern Recognition (CVPR)</w:t>
      </w:r>
      <w:r>
        <w:t xml:space="preserve"> </w:t>
      </w:r>
      <w:r>
        <w:t xml:space="preserve">(pp. 17683–17693).</w:t>
      </w:r>
      <w:r>
        <w:t xml:space="preserve"> </w:t>
      </w:r>
      <w:hyperlink r:id="rId95">
        <w:r>
          <w:rPr>
            <w:rStyle w:val="Hyperlink"/>
          </w:rPr>
          <w:t xml:space="preserve">https://doi.org/10.1109/CVPR52688.2022.01716</w:t>
        </w:r>
      </w:hyperlink>
      <w:bookmarkEnd w:id="96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98" w:name="r18"/>
      <w:r>
        <w:t xml:space="preserve">[18]</w:t>
      </w:r>
      <w:r>
        <w:t xml:space="preserve"> </w:t>
      </w:r>
      <w:r>
        <w:t xml:space="preserve">Wang, Z., Bovik, A. C., Sheikh, H. R., &amp; Simoncelli, E. P. (2004). Image quality</w:t>
      </w:r>
      <w:r>
        <w:t xml:space="preserve"> </w:t>
      </w:r>
      <w:r>
        <w:t xml:space="preserve">assessment: From error visibility to structural similarity.</w:t>
      </w:r>
      <w:r>
        <w:t xml:space="preserve"> </w:t>
      </w:r>
      <w:r>
        <w:rPr>
          <w:i/>
          <w:iCs/>
        </w:rPr>
        <w:t xml:space="preserve">IEEE Transactions on Image Processing</w:t>
      </w:r>
      <w:r>
        <w:t xml:space="preserve">,</w:t>
      </w:r>
      <w:r>
        <w:t xml:space="preserve"> </w:t>
      </w:r>
      <w:r>
        <w:rPr>
          <w:i/>
          <w:iCs/>
        </w:rPr>
        <w:t xml:space="preserve">13</w:t>
      </w:r>
      <w:r>
        <w:t xml:space="preserve">(4), 600–612.</w:t>
      </w:r>
      <w:r>
        <w:t xml:space="preserve"> </w:t>
      </w:r>
      <w:hyperlink r:id="rId97">
        <w:r>
          <w:rPr>
            <w:rStyle w:val="Hyperlink"/>
          </w:rPr>
          <w:t xml:space="preserve">https://doi.org/10.1109/TIP.2003.819861</w:t>
        </w:r>
      </w:hyperlink>
      <w:bookmarkEnd w:id="98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00" w:name="r19"/>
      <w:r>
        <w:t xml:space="preserve">[19]</w:t>
      </w:r>
      <w:r>
        <w:t xml:space="preserve"> </w:t>
      </w:r>
      <w:r>
        <w:t xml:space="preserve">Goodfellow, I., Pouget-Abadie, J., Mirza, M., Xu, B., Warde-Farley, D., Ozair, S.,</w:t>
      </w:r>
      <w:r>
        <w:t xml:space="preserve"> </w:t>
      </w:r>
      <w:r>
        <w:t xml:space="preserve">Courville, A., &amp; Bengio, Y. (2014). Generative adversarial nets.</w:t>
      </w:r>
      <w:r>
        <w:t xml:space="preserve"> </w:t>
      </w:r>
      <w:r>
        <w:rPr>
          <w:i/>
          <w:iCs/>
        </w:rPr>
        <w:t xml:space="preserve">Advances in Neural Information Processing Systems</w:t>
      </w:r>
      <w:r>
        <w:t xml:space="preserve">,</w:t>
      </w:r>
      <w:r>
        <w:t xml:space="preserve"> </w:t>
      </w:r>
      <w:r>
        <w:rPr>
          <w:i/>
          <w:iCs/>
        </w:rPr>
        <w:t xml:space="preserve">27</w:t>
      </w:r>
      <w:r>
        <w:t xml:space="preserve">, 2672–2680.</w:t>
      </w:r>
      <w:r>
        <w:t xml:space="preserve"> </w:t>
      </w:r>
      <w:hyperlink r:id="rId99">
        <w:r>
          <w:rPr>
            <w:rStyle w:val="Hyperlink"/>
          </w:rPr>
          <w:t xml:space="preserve">https://dl.acm.org/doi/10.5555/2969033.2969125</w:t>
        </w:r>
      </w:hyperlink>
      <w:bookmarkEnd w:id="100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02" w:name="r20"/>
      <w:r>
        <w:t xml:space="preserve">[20]</w:t>
      </w:r>
      <w:r>
        <w:t xml:space="preserve"> </w:t>
      </w:r>
      <w:r>
        <w:t xml:space="preserve">Saharia, C., Ho, J., Chan, W., Salimans, T., Fleet, D. J., &amp; Norouzi, M. (2022).</w:t>
      </w:r>
      <w:r>
        <w:t xml:space="preserve"> </w:t>
      </w:r>
      <w:r>
        <w:t xml:space="preserve">Image super-resolution via iterative refinement.</w:t>
      </w:r>
      <w:r>
        <w:t xml:space="preserve"> </w:t>
      </w:r>
      <w:r>
        <w:rPr>
          <w:i/>
          <w:iCs/>
        </w:rPr>
        <w:t xml:space="preserve">IEEE Transactions on Pattern Analysis and Machine Intelligence</w:t>
      </w:r>
      <w:r>
        <w:t xml:space="preserve">,</w:t>
      </w:r>
      <w:r>
        <w:t xml:space="preserve"> </w:t>
      </w:r>
      <w:r>
        <w:rPr>
          <w:i/>
          <w:iCs/>
        </w:rPr>
        <w:t xml:space="preserve">45</w:t>
      </w:r>
      <w:r>
        <w:t xml:space="preserve">(4),</w:t>
      </w:r>
      <w:r>
        <w:t xml:space="preserve"> </w:t>
      </w:r>
      <w:r>
        <w:t xml:space="preserve">4713–4726.</w:t>
      </w:r>
      <w:r>
        <w:t xml:space="preserve"> </w:t>
      </w:r>
      <w:hyperlink r:id="rId101">
        <w:r>
          <w:rPr>
            <w:rStyle w:val="Hyperlink"/>
          </w:rPr>
          <w:t xml:space="preserve">https://doi.org/10.1109/TPAMI.2022.3204461</w:t>
        </w:r>
      </w:hyperlink>
      <w:bookmarkEnd w:id="102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04" w:name="r21"/>
      <w:r>
        <w:t xml:space="preserve">[21]</w:t>
      </w:r>
      <w:r>
        <w:t xml:space="preserve"> </w:t>
      </w:r>
      <w:r>
        <w:t xml:space="preserve">Oktay, O., Schlemper, J., Le Folgoc, L., Lee, M., Heinrich, M., Misawa, K., Mori, K.,</w:t>
      </w:r>
      <w:r>
        <w:t xml:space="preserve"> </w:t>
      </w:r>
      <w:r>
        <w:t xml:space="preserve">McDonagh, S., Hammerla, N. Y., Kainz, B., Glocker, B., &amp; Rueckert, D. (2018).</w:t>
      </w:r>
      <w:r>
        <w:t xml:space="preserve"> </w:t>
      </w:r>
      <w:r>
        <w:t xml:space="preserve">Attention U-net: Learning where to look for the pancreas. In</w:t>
      </w:r>
      <w:r>
        <w:t xml:space="preserve"> </w:t>
      </w:r>
      <w:r>
        <w:rPr>
          <w:i/>
          <w:iCs/>
        </w:rPr>
        <w:t xml:space="preserve">Medical Imaging with Deep Learning (MIDL)</w:t>
      </w:r>
      <w:r>
        <w:t xml:space="preserve">.</w:t>
      </w:r>
      <w:r>
        <w:t xml:space="preserve"> </w:t>
      </w:r>
      <w:hyperlink r:id="rId103">
        <w:r>
          <w:rPr>
            <w:rStyle w:val="Hyperlink"/>
          </w:rPr>
          <w:t xml:space="preserve">https://arxiv.org/abs/1804.03999</w:t>
        </w:r>
      </w:hyperlink>
      <w:bookmarkEnd w:id="104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06" w:name="r22"/>
      <w:r>
        <w:t xml:space="preserve">[22]</w:t>
      </w:r>
      <w:r>
        <w:t xml:space="preserve"> </w:t>
      </w:r>
      <w:r>
        <w:t xml:space="preserve">Wang, X., Yu, K., Wu, S., Gu, J., Liu, Y., Dong, C., Loy, C. C., Qiao, Y., &amp; Tang, X.</w:t>
      </w:r>
      <w:r>
        <w:t xml:space="preserve"> </w:t>
      </w:r>
      <w:r>
        <w:t xml:space="preserve">(2018). ESRGAN: Enhanced super-resolution generative adversarial networks.</w:t>
      </w:r>
      <w:r>
        <w:t xml:space="preserve"> </w:t>
      </w:r>
      <w:r>
        <w:t xml:space="preserve">In</w:t>
      </w:r>
      <w:r>
        <w:t xml:space="preserve"> </w:t>
      </w:r>
      <w:r>
        <w:rPr>
          <w:i/>
          <w:iCs/>
        </w:rPr>
        <w:t xml:space="preserve">European Conference on Computer Vision Workshops (ECCVW)</w:t>
      </w:r>
      <w:r>
        <w:t xml:space="preserve">.</w:t>
      </w:r>
      <w:r>
        <w:t xml:space="preserve"> </w:t>
      </w:r>
      <w:hyperlink r:id="rId105">
        <w:r>
          <w:rPr>
            <w:rStyle w:val="Hyperlink"/>
          </w:rPr>
          <w:t xml:space="preserve">https://doi.org/10.1007/978-3-030-11021-5_5</w:t>
        </w:r>
      </w:hyperlink>
      <w:bookmarkEnd w:id="106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08" w:name="r23"/>
      <w:r>
        <w:t xml:space="preserve">[23]</w:t>
      </w:r>
      <w:r>
        <w:t xml:space="preserve"> </w:t>
      </w:r>
      <w:r>
        <w:t xml:space="preserve">Laroca, R., Zanlorensi, L. A., Gonçalves, G. R., Todt, E., Schwartz, W. R., &amp;</w:t>
      </w:r>
      <w:r>
        <w:t xml:space="preserve"> </w:t>
      </w:r>
      <w:r>
        <w:t xml:space="preserve">Menotti, D. (2021). An efficient and layout-independent automatic license plate recognition</w:t>
      </w:r>
      <w:r>
        <w:t xml:space="preserve"> </w:t>
      </w:r>
      <w:r>
        <w:t xml:space="preserve">system based on the YOLO detector.</w:t>
      </w:r>
      <w:r>
        <w:t xml:space="preserve"> </w:t>
      </w:r>
      <w:r>
        <w:rPr>
          <w:i/>
          <w:iCs/>
        </w:rPr>
        <w:t xml:space="preserve">IET Intelligent Transport Systems</w:t>
      </w:r>
      <w:r>
        <w:t xml:space="preserve">,</w:t>
      </w:r>
      <w:r>
        <w:t xml:space="preserve"> </w:t>
      </w:r>
      <w:r>
        <w:rPr>
          <w:i/>
          <w:iCs/>
        </w:rPr>
        <w:t xml:space="preserve">15</w:t>
      </w:r>
      <w:r>
        <w:t xml:space="preserve">(4), 483–503.</w:t>
      </w:r>
      <w:r>
        <w:t xml:space="preserve"> </w:t>
      </w:r>
      <w:hyperlink r:id="rId107">
        <w:r>
          <w:rPr>
            <w:rStyle w:val="Hyperlink"/>
          </w:rPr>
          <w:t xml:space="preserve">https://doi.org/10.1049/itr2.12030</w:t>
        </w:r>
      </w:hyperlink>
      <w:bookmarkEnd w:id="108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10" w:name="r24"/>
      <w:r>
        <w:t xml:space="preserve">[24]</w:t>
      </w:r>
      <w:r>
        <w:t xml:space="preserve"> </w:t>
      </w:r>
      <w:r>
        <w:t xml:space="preserve">Zheng, Y., Capra, L., Wolfson, O., &amp; Yang, H. (2014). Urban computing: Concepts,</w:t>
      </w:r>
      <w:r>
        <w:t xml:space="preserve"> </w:t>
      </w:r>
      <w:r>
        <w:t xml:space="preserve">methodologies, and applications.</w:t>
      </w:r>
      <w:r>
        <w:t xml:space="preserve"> </w:t>
      </w:r>
      <w:r>
        <w:rPr>
          <w:i/>
          <w:iCs/>
        </w:rPr>
        <w:t xml:space="preserve">ACM Transactions on Intelligent Systems and Technology</w:t>
      </w:r>
      <w:r>
        <w:t xml:space="preserve">,</w:t>
      </w:r>
      <w:r>
        <w:t xml:space="preserve"> </w:t>
      </w:r>
      <w:r>
        <w:rPr>
          <w:i/>
          <w:iCs/>
        </w:rPr>
        <w:t xml:space="preserve">5</w:t>
      </w:r>
      <w:r>
        <w:t xml:space="preserve">(3), Article 38.</w:t>
      </w:r>
      <w:r>
        <w:t xml:space="preserve"> </w:t>
      </w:r>
      <w:hyperlink r:id="rId109">
        <w:r>
          <w:rPr>
            <w:rStyle w:val="Hyperlink"/>
          </w:rPr>
          <w:t xml:space="preserve">https://doi.org/10.1145/2629592</w:t>
        </w:r>
      </w:hyperlink>
      <w:bookmarkEnd w:id="110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11" w:name="r25"/>
      <w:r>
        <w:t xml:space="preserve">[25]</w:t>
      </w:r>
      <w:r>
        <w:t xml:space="preserve"> </w:t>
      </w:r>
      <w:r>
        <w:t xml:space="preserve">Townsend, A. M. (2013).</w:t>
      </w:r>
      <w:r>
        <w:t xml:space="preserve"> </w:t>
      </w:r>
      <w:r>
        <w:rPr>
          <w:i/>
          <w:iCs/>
        </w:rPr>
        <w:t xml:space="preserve">Smart cities: Big data, civic hackers, and the quest for a</w:t>
      </w:r>
      <w:r>
        <w:rPr>
          <w:i/>
          <w:iCs/>
        </w:rPr>
        <w:t xml:space="preserve"> </w:t>
      </w:r>
      <w:r>
        <w:rPr>
          <w:i/>
          <w:iCs/>
        </w:rPr>
        <w:t xml:space="preserve">new utopia</w:t>
      </w:r>
      <w:r>
        <w:t xml:space="preserve">. W. W. Norton &amp; Company.</w:t>
      </w:r>
      <w:bookmarkEnd w:id="111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13" w:name="r26"/>
      <w:r>
        <w:t xml:space="preserve">[26]</w:t>
      </w:r>
      <w:r>
        <w:t xml:space="preserve"> </w:t>
      </w:r>
      <w:r>
        <w:t xml:space="preserve">Lane, N. D., Miluzzo, E., Lu, H., Peebles, D., Choudhury, T., &amp; Campbell, A. T.</w:t>
      </w:r>
      <w:r>
        <w:t xml:space="preserve"> </w:t>
      </w:r>
      <w:r>
        <w:t xml:space="preserve">(2010). A survey of mobile phone sensing.</w:t>
      </w:r>
      <w:r>
        <w:t xml:space="preserve"> </w:t>
      </w:r>
      <w:r>
        <w:rPr>
          <w:i/>
          <w:iCs/>
        </w:rPr>
        <w:t xml:space="preserve">IEEE Communications Magazine</w:t>
      </w:r>
      <w:r>
        <w:t xml:space="preserve">,</w:t>
      </w:r>
      <w:r>
        <w:t xml:space="preserve"> </w:t>
      </w:r>
      <w:r>
        <w:rPr>
          <w:i/>
          <w:iCs/>
        </w:rPr>
        <w:t xml:space="preserve">48</w:t>
      </w:r>
      <w:r>
        <w:t xml:space="preserve">(9), 140–150.</w:t>
      </w:r>
      <w:r>
        <w:t xml:space="preserve"> </w:t>
      </w:r>
      <w:hyperlink r:id="rId112">
        <w:r>
          <w:rPr>
            <w:rStyle w:val="Hyperlink"/>
          </w:rPr>
          <w:t xml:space="preserve">https://doi.org/10.1109/MCOM.2010.5560598</w:t>
        </w:r>
      </w:hyperlink>
      <w:bookmarkEnd w:id="113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15" w:name="r27"/>
      <w:r>
        <w:t xml:space="preserve">[27]</w:t>
      </w:r>
      <w:r>
        <w:t xml:space="preserve"> </w:t>
      </w:r>
      <w:r>
        <w:t xml:space="preserve">Burke, J. A., Estrin, D., Hansen, M., Parker, A., Ramanathan, N., Reddy, S., &amp;</w:t>
      </w:r>
      <w:r>
        <w:t xml:space="preserve"> </w:t>
      </w:r>
      <w:r>
        <w:t xml:space="preserve">Srivastava, M. B. (2006). Participatory sensing. In</w:t>
      </w:r>
      <w:r>
        <w:t xml:space="preserve"> </w:t>
      </w:r>
      <w:r>
        <w:rPr>
          <w:i/>
          <w:iCs/>
        </w:rPr>
        <w:t xml:space="preserve">Workshop on World-Sensor-Web</w:t>
      </w:r>
      <w:r>
        <w:rPr>
          <w:i/>
          <w:iCs/>
        </w:rPr>
        <w:t xml:space="preserve"> </w:t>
      </w:r>
      <w:r>
        <w:rPr>
          <w:i/>
          <w:iCs/>
        </w:rPr>
        <w:t xml:space="preserve">at ACM SenSys 2006</w:t>
      </w:r>
      <w:r>
        <w:t xml:space="preserve">.</w:t>
      </w:r>
      <w:r>
        <w:t xml:space="preserve"> </w:t>
      </w:r>
      <w:hyperlink r:id="rId114">
        <w:r>
          <w:rPr>
            <w:rStyle w:val="Hyperlink"/>
          </w:rPr>
          <w:t xml:space="preserve">https://escholarship.org/uc/item/19h777qd</w:t>
        </w:r>
      </w:hyperlink>
      <w:bookmarkEnd w:id="115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17" w:name="r28"/>
      <w:r>
        <w:t xml:space="preserve">[28]</w:t>
      </w:r>
      <w:r>
        <w:t xml:space="preserve"> </w:t>
      </w:r>
      <w:r>
        <w:t xml:space="preserve">Eriksson, J., Girod, L., Hull, B., Newton, R., Madden, S., &amp; Balakrishnan, H.</w:t>
      </w:r>
      <w:r>
        <w:t xml:space="preserve"> </w:t>
      </w:r>
      <w:r>
        <w:t xml:space="preserve">(2008). The pothole patrol: Using a mobile sensor network for road surface monitoring.</w:t>
      </w:r>
      <w:r>
        <w:t xml:space="preserve"> </w:t>
      </w:r>
      <w:r>
        <w:t xml:space="preserve">In</w:t>
      </w:r>
      <w:r>
        <w:t xml:space="preserve"> </w:t>
      </w:r>
      <w:r>
        <w:rPr>
          <w:i/>
          <w:iCs/>
        </w:rPr>
        <w:t xml:space="preserve">Proceedings of the 6th International Conference on Mobile Systems, Applications,</w:t>
      </w:r>
      <w:r>
        <w:rPr>
          <w:i/>
          <w:iCs/>
        </w:rPr>
        <w:t xml:space="preserve"> </w:t>
      </w:r>
      <w:r>
        <w:rPr>
          <w:i/>
          <w:iCs/>
        </w:rPr>
        <w:t xml:space="preserve">and Services (MobiSys)</w:t>
      </w:r>
      <w:r>
        <w:t xml:space="preserve"> </w:t>
      </w:r>
      <w:r>
        <w:t xml:space="preserve">(pp. 29–39). ACM.</w:t>
      </w:r>
      <w:r>
        <w:t xml:space="preserve"> </w:t>
      </w:r>
      <w:hyperlink r:id="rId116">
        <w:r>
          <w:rPr>
            <w:rStyle w:val="Hyperlink"/>
          </w:rPr>
          <w:t xml:space="preserve">https://doi.org/10.1145/1378600.1378605</w:t>
        </w:r>
      </w:hyperlink>
      <w:bookmarkEnd w:id="117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19" w:name="r29"/>
      <w:r>
        <w:t xml:space="preserve">[29]</w:t>
      </w:r>
      <w:r>
        <w:t xml:space="preserve"> </w:t>
      </w:r>
      <w:r>
        <w:t xml:space="preserve">Laroca, R., Cardoso, E. V., Lucio, D. R., Estevam, V., &amp; Menotti, D. (2022).</w:t>
      </w:r>
      <w:r>
        <w:t xml:space="preserve"> </w:t>
      </w:r>
      <w:r>
        <w:t xml:space="preserve">On the cross-dataset generalization in license plate recognition.</w:t>
      </w:r>
      <w:r>
        <w:t xml:space="preserve"> </w:t>
      </w:r>
      <w:r>
        <w:t xml:space="preserve">In</w:t>
      </w:r>
      <w:r>
        <w:t xml:space="preserve"> </w:t>
      </w:r>
      <w:r>
        <w:rPr>
          <w:i/>
          <w:iCs/>
        </w:rPr>
        <w:t xml:space="preserve">Proceedings of the 17th International Joint Conference on Computer Vision,</w:t>
      </w:r>
      <w:r>
        <w:rPr>
          <w:i/>
          <w:iCs/>
        </w:rPr>
        <w:t xml:space="preserve"> </w:t>
      </w:r>
      <w:r>
        <w:rPr>
          <w:i/>
          <w:iCs/>
        </w:rPr>
        <w:t xml:space="preserve">Imaging and Computer Graphics Theory and Applications (VISAPP)</w:t>
      </w:r>
      <w:r>
        <w:t xml:space="preserve">.</w:t>
      </w:r>
      <w:r>
        <w:t xml:space="preserve"> </w:t>
      </w:r>
      <w:hyperlink r:id="rId118">
        <w:r>
          <w:rPr>
            <w:rStyle w:val="Hyperlink"/>
          </w:rPr>
          <w:t xml:space="preserve">https://doi.org/10.5220/0010846800003124</w:t>
        </w:r>
      </w:hyperlink>
      <w:bookmarkEnd w:id="119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21" w:name="r30"/>
      <w:r>
        <w:t xml:space="preserve">[30]</w:t>
      </w:r>
      <w:r>
        <w:t xml:space="preserve"> </w:t>
      </w:r>
      <w:r>
        <w:t xml:space="preserve">Silva, S. M., &amp; Jung, C. R. (2018). License plate detection and recognition in</w:t>
      </w:r>
      <w:r>
        <w:t xml:space="preserve"> </w:t>
      </w:r>
      <w:r>
        <w:t xml:space="preserve">unconstrained scenarios. In</w:t>
      </w:r>
      <w:r>
        <w:t xml:space="preserve"> </w:t>
      </w:r>
      <w:r>
        <w:rPr>
          <w:i/>
          <w:iCs/>
        </w:rPr>
        <w:t xml:space="preserve">European Conference on Computer Vision (ECCV)</w:t>
      </w:r>
      <w:r>
        <w:t xml:space="preserve"> </w:t>
      </w:r>
      <w:r>
        <w:t xml:space="preserve">(pp. 580–596). Springer.</w:t>
      </w:r>
      <w:r>
        <w:t xml:space="preserve"> </w:t>
      </w:r>
      <w:hyperlink r:id="rId120">
        <w:r>
          <w:rPr>
            <w:rStyle w:val="Hyperlink"/>
          </w:rPr>
          <w:t xml:space="preserve">https://doi.org/10.1007/978-3-030-01258-8_36</w:t>
        </w:r>
      </w:hyperlink>
      <w:bookmarkEnd w:id="121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23" w:name="r31"/>
      <w:r>
        <w:t xml:space="preserve">[31]</w:t>
      </w:r>
      <w:r>
        <w:t xml:space="preserve"> </w:t>
      </w:r>
      <w:r>
        <w:t xml:space="preserve">Xu, H., Guo, Z., Wang, D., Zhou, X., &amp; Zheng, Y. (2021). 2D license plate recognition</w:t>
      </w:r>
      <w:r>
        <w:t xml:space="preserve"> </w:t>
      </w:r>
      <w:r>
        <w:t xml:space="preserve">based on automatic perspective rectification. In</w:t>
      </w:r>
      <w:r>
        <w:t xml:space="preserve"> </w:t>
      </w:r>
      <w:r>
        <w:rPr>
          <w:i/>
          <w:iCs/>
        </w:rPr>
        <w:t xml:space="preserve">2020 25th International Conference</w:t>
      </w:r>
      <w:r>
        <w:rPr>
          <w:i/>
          <w:iCs/>
        </w:rPr>
        <w:t xml:space="preserve"> </w:t>
      </w:r>
      <w:r>
        <w:rPr>
          <w:i/>
          <w:iCs/>
        </w:rPr>
        <w:t xml:space="preserve">on Pattern Recognition (ICPR)</w:t>
      </w:r>
      <w:r>
        <w:t xml:space="preserve"> </w:t>
      </w:r>
      <w:r>
        <w:t xml:space="preserve">(pp. 7803–7810). IEEE.</w:t>
      </w:r>
      <w:r>
        <w:t xml:space="preserve"> </w:t>
      </w:r>
      <w:hyperlink r:id="rId122">
        <w:r>
          <w:rPr>
            <w:rStyle w:val="Hyperlink"/>
          </w:rPr>
          <w:t xml:space="preserve">https://doi.org/10.1109/ICPR48806.2021.9413152</w:t>
        </w:r>
      </w:hyperlink>
      <w:bookmarkEnd w:id="123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25" w:name="r32"/>
      <w:r>
        <w:t xml:space="preserve">[32]</w:t>
      </w:r>
      <w:r>
        <w:t xml:space="preserve"> </w:t>
      </w:r>
      <w:r>
        <w:t xml:space="preserve">Zou, Y., Wang, S., Xu, J., &amp; Li, H. (2019). Semantic super-resolution for</w:t>
      </w:r>
      <w:r>
        <w:t xml:space="preserve"> </w:t>
      </w:r>
      <w:r>
        <w:t xml:space="preserve">extremely low-resolution vehicle license plates. In</w:t>
      </w:r>
      <w:r>
        <w:t xml:space="preserve"> </w:t>
      </w:r>
      <w:r>
        <w:rPr>
          <w:i/>
          <w:iCs/>
        </w:rPr>
        <w:t xml:space="preserve">ICASSP 2019 – IEEE</w:t>
      </w:r>
      <w:r>
        <w:rPr>
          <w:i/>
          <w:iCs/>
        </w:rPr>
        <w:t xml:space="preserve"> </w:t>
      </w:r>
      <w:r>
        <w:rPr>
          <w:i/>
          <w:iCs/>
        </w:rPr>
        <w:t xml:space="preserve">International Conference on Acoustics, Speech and Signal Processing</w:t>
      </w:r>
      <w:r>
        <w:t xml:space="preserve"> </w:t>
      </w:r>
      <w:r>
        <w:t xml:space="preserve">(pp. 3772–3776).</w:t>
      </w:r>
      <w:r>
        <w:t xml:space="preserve"> </w:t>
      </w:r>
      <w:hyperlink r:id="rId124">
        <w:r>
          <w:rPr>
            <w:rStyle w:val="Hyperlink"/>
          </w:rPr>
          <w:t xml:space="preserve">https://doi.org/10.1109/ICASSP.2019.8682507</w:t>
        </w:r>
      </w:hyperlink>
      <w:bookmarkEnd w:id="125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27" w:name="r33"/>
      <w:r>
        <w:t xml:space="preserve">[33]</w:t>
      </w:r>
      <w:r>
        <w:t xml:space="preserve"> </w:t>
      </w:r>
      <w:r>
        <w:t xml:space="preserve">Hamdi, A., Chan, Y. K., &amp; Koo, V. C. (2021). A new image enhancement and</w:t>
      </w:r>
      <w:r>
        <w:t xml:space="preserve"> </w:t>
      </w:r>
      <w:r>
        <w:t xml:space="preserve">super-resolution technique for license plate recognition.</w:t>
      </w:r>
      <w:r>
        <w:t xml:space="preserve"> </w:t>
      </w:r>
      <w:r>
        <w:rPr>
          <w:i/>
          <w:iCs/>
        </w:rPr>
        <w:t xml:space="preserve">Heliyon</w:t>
      </w:r>
      <w:r>
        <w:t xml:space="preserve">,</w:t>
      </w:r>
      <w:r>
        <w:t xml:space="preserve"> </w:t>
      </w:r>
      <w:r>
        <w:rPr>
          <w:i/>
          <w:iCs/>
        </w:rPr>
        <w:t xml:space="preserve">7</w:t>
      </w:r>
      <w:r>
        <w:t xml:space="preserve">(11), e08341.</w:t>
      </w:r>
      <w:r>
        <w:t xml:space="preserve"> </w:t>
      </w:r>
      <w:hyperlink r:id="rId126">
        <w:r>
          <w:rPr>
            <w:rStyle w:val="Hyperlink"/>
          </w:rPr>
          <w:t xml:space="preserve">https://doi.org/10.1016/j.heliyon.2021.e08341</w:t>
        </w:r>
      </w:hyperlink>
      <w:bookmarkEnd w:id="127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29" w:name="r34"/>
      <w:r>
        <w:t xml:space="preserve">[34]</w:t>
      </w:r>
      <w:r>
        <w:t xml:space="preserve"> </w:t>
      </w:r>
      <w:r>
        <w:t xml:space="preserve">Zhang, Z. (2000). A flexible new technique for camera calibration.</w:t>
      </w:r>
      <w:r>
        <w:t xml:space="preserve"> </w:t>
      </w:r>
      <w:r>
        <w:rPr>
          <w:i/>
          <w:iCs/>
        </w:rPr>
        <w:t xml:space="preserve">IEEE Transactions on Pattern Analysis and Machine Intelligence</w:t>
      </w:r>
      <w:r>
        <w:t xml:space="preserve">,</w:t>
      </w:r>
      <w:r>
        <w:t xml:space="preserve"> </w:t>
      </w:r>
      <w:r>
        <w:rPr>
          <w:i/>
          <w:iCs/>
        </w:rPr>
        <w:t xml:space="preserve">22</w:t>
      </w:r>
      <w:r>
        <w:t xml:space="preserve">(11), 1330–1334.</w:t>
      </w:r>
      <w:r>
        <w:t xml:space="preserve"> </w:t>
      </w:r>
      <w:hyperlink r:id="rId128">
        <w:r>
          <w:rPr>
            <w:rStyle w:val="Hyperlink"/>
          </w:rPr>
          <w:t xml:space="preserve">https://doi.org/10.1109/34.888718</w:t>
        </w:r>
      </w:hyperlink>
      <w:bookmarkEnd w:id="129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31" w:name="r35"/>
      <w:r>
        <w:t xml:space="preserve">[35]</w:t>
      </w:r>
      <w:r>
        <w:t xml:space="preserve"> </w:t>
      </w:r>
      <w:r>
        <w:t xml:space="preserve">Frome, A., Cheung, G., Abdulkader, A., Zennaro, M., Wu, B., Bissacco, A., Adam, H.,</w:t>
      </w:r>
      <w:r>
        <w:t xml:space="preserve"> </w:t>
      </w:r>
      <w:r>
        <w:t xml:space="preserve">Neven, H., &amp; Vincent, L. (2009). Large-scale privacy protection in Google Street</w:t>
      </w:r>
      <w:r>
        <w:t xml:space="preserve"> </w:t>
      </w:r>
      <w:r>
        <w:t xml:space="preserve">View. In</w:t>
      </w:r>
      <w:r>
        <w:t xml:space="preserve"> </w:t>
      </w:r>
      <w:r>
        <w:rPr>
          <w:i/>
          <w:iCs/>
        </w:rPr>
        <w:t xml:space="preserve">Proceedings of the IEEE International Conference on Computer Vision</w:t>
      </w:r>
      <w:r>
        <w:rPr>
          <w:i/>
          <w:iCs/>
        </w:rPr>
        <w:t xml:space="preserve"> </w:t>
      </w:r>
      <w:r>
        <w:rPr>
          <w:i/>
          <w:iCs/>
        </w:rPr>
        <w:t xml:space="preserve">(ICCV)</w:t>
      </w:r>
      <w:r>
        <w:t xml:space="preserve"> </w:t>
      </w:r>
      <w:r>
        <w:t xml:space="preserve">(pp. 2373–2380).</w:t>
      </w:r>
      <w:r>
        <w:t xml:space="preserve"> </w:t>
      </w:r>
      <w:hyperlink r:id="rId130">
        <w:r>
          <w:rPr>
            <w:rStyle w:val="Hyperlink"/>
          </w:rPr>
          <w:t xml:space="preserve">https://doi.org/10.1109/ICCV.2009.5459413</w:t>
        </w:r>
      </w:hyperlink>
      <w:bookmarkEnd w:id="131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33" w:name="r36"/>
      <w:r>
        <w:t xml:space="preserve">[36]</w:t>
      </w:r>
      <w:r>
        <w:t xml:space="preserve"> </w:t>
      </w:r>
      <w:r>
        <w:t xml:space="preserve">Martin, A., Doddington, G., Kamm, T., Ordowski, M., &amp; Przybocki, M. (1997).</w:t>
      </w:r>
      <w:r>
        <w:t xml:space="preserve"> </w:t>
      </w:r>
      <w:r>
        <w:t xml:space="preserve">The DET curve in assessment of detection task performance. In</w:t>
      </w:r>
      <w:r>
        <w:t xml:space="preserve"> </w:t>
      </w:r>
      <w:r>
        <w:rPr>
          <w:i/>
          <w:iCs/>
        </w:rPr>
        <w:t xml:space="preserve">Proceedings of Eurospeech 1997</w:t>
      </w:r>
      <w:r>
        <w:t xml:space="preserve"> </w:t>
      </w:r>
      <w:r>
        <w:t xml:space="preserve">(pp. 1895–1898).</w:t>
      </w:r>
      <w:r>
        <w:t xml:space="preserve"> </w:t>
      </w:r>
      <w:hyperlink r:id="rId132">
        <w:r>
          <w:rPr>
            <w:rStyle w:val="Hyperlink"/>
          </w:rPr>
          <w:t xml:space="preserve">https://doi.org/10.21437/Eurospeech.1997-504</w:t>
        </w:r>
      </w:hyperlink>
      <w:bookmarkEnd w:id="133"/>
    </w:p>
    <w:p>
      <w:pPr>
        <w:pStyle w:val="ReferenceEntry"/>
        <w:numPr>
          <w:ilvl w:val="0"/>
          <w:numId w:val="1004"/>
        </w:numPr>
        <w:jc w:val="left"/>
        <w:keepNext w:val="0"/>
        <w:keepLines w:val="0"/>
        <w:widowControl w:val="1"/>
      </w:pPr>
      <w:bookmarkStart w:id="134" w:name="r37"/>
      <w:r>
        <w:t xml:space="preserve">[37]</w:t>
      </w:r>
      <w:r>
        <w:t xml:space="preserve"> </w:t>
      </w:r>
      <w:r>
        <w:t xml:space="preserve">Serra, J. (1982).</w:t>
      </w:r>
      <w:r>
        <w:t xml:space="preserve"> </w:t>
      </w:r>
      <w:r>
        <w:rPr>
          <w:i/>
          <w:iCs/>
        </w:rPr>
        <w:t xml:space="preserve">Image Analysis and Mathematical Morphology</w:t>
      </w:r>
      <w:r>
        <w:t xml:space="preserve">.</w:t>
      </w:r>
      <w:r>
        <w:t xml:space="preserve"> </w:t>
      </w:r>
      <w:r>
        <w:t xml:space="preserve">Academic Press, London.</w:t>
      </w:r>
      <w:bookmarkEnd w:id="134"/>
    </w:p>
    <w:bookmarkEnd w:id="135"/>
    <w:sectPr w:rsidR="00FC693F" w:rsidRPr="0006063C" w:rsidSect="00034616">
      <w:footerReference w:type="default" r:id="rId11"/>
      <w:pgSz w:h="15840" w:w="12240"/>
      <w:pgMar w:bottom="1440" w:footer="720" w:gutter="0" w:header="720" w:left="1440" w:right="1440" w:top="1440"/>
      <w:cols w:space="720"/>
      <w:docGrid w:linePitch="36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spacing w:before="0" w:after="0"/>
      <w:jc w:val="center"/>
    </w:pPr>
    <w:r>
      <w:rPr>
        <w:rFonts w:ascii="Times New Roman" w:hAnsi="Times New Roman"/>
        <w:sz w:val="20"/>
      </w:rPr>
      <w:fldChar w:fldCharType="begin"/>
      <w:instrText xml:space="preserve">PAGE</w:instrText>
      <w:fldChar w:fldCharType="separate"/>
      <w:t>1</w:t>
      <w:fldChar w:fldCharType="end"/>
    </w: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pos="1800" w:val="num"/>
        </w:tabs>
        <w:ind w:hanging="360" w:left="180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pos="1440" w:val="num"/>
        </w:tabs>
        <w:ind w:hanging="360" w:left="144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pos="1080" w:val="num"/>
        </w:tabs>
        <w:ind w:hanging="360" w:left="108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pos="720" w:val="num"/>
        </w:tabs>
        <w:ind w:hanging="360" w:left="72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pos="1440" w:val="num"/>
        </w:tabs>
        <w:ind w:hanging="360" w:left="144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pos="1080" w:val="num"/>
        </w:tabs>
        <w:ind w:hanging="360" w:left="108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pos="720" w:val="num"/>
        </w:tabs>
        <w:ind w:hanging="360" w:left="72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pos="360" w:val="num"/>
        </w:tabs>
        <w:ind w:hanging="360" w:left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pos="360" w:val="num"/>
        </w:tabs>
        <w:ind w:hanging="360" w:left="360"/>
      </w:pPr>
      <w:rPr>
        <w:rFonts w:ascii="Symbol" w:hAnsi="Symbol" w:hint="default"/>
      </w:rPr>
    </w:lvl>
  </w:abstractNum>
  <w:abstractNum w:abstractNumId="990">
    <w:nsid w:val="0000A990"/>
    <w:multiLevelType w:val="multilevel"/>
    <w:lvl w:ilvl="0">
      <w:numFmt w:val="bullet"/>
      <w:lvlText w:val=" "/>
      <w:lvlJc w:val="left"/>
      <w:pPr>
        <w:ind w:left="720" w:hanging="360"/>
      </w:pPr>
    </w:lvl>
    <w:lvl w:ilvl="1">
      <w:numFmt w:val="bullet"/>
      <w:lvlText w:val=" "/>
      <w:lvlJc w:val="left"/>
      <w:pPr>
        <w:ind w:left="1440" w:hanging="360"/>
      </w:pPr>
    </w:lvl>
    <w:lvl w:ilvl="2">
      <w:numFmt w:val="bullet"/>
      <w:lvlText w:val=" "/>
      <w:lvlJc w:val="left"/>
      <w:pPr>
        <w:ind w:left="2160" w:hanging="360"/>
      </w:pPr>
    </w:lvl>
    <w:lvl w:ilvl="3">
      <w:numFmt w:val="bullet"/>
      <w:lvlText w:val=" "/>
      <w:lvlJc w:val="left"/>
      <w:pPr>
        <w:ind w:left="2880" w:hanging="360"/>
      </w:pPr>
    </w:lvl>
    <w:lvl w:ilvl="4">
      <w:numFmt w:val="bullet"/>
      <w:lvlText w:val=" "/>
      <w:lvlJc w:val="left"/>
      <w:pPr>
        <w:ind w:left="3600" w:hanging="360"/>
      </w:pPr>
    </w:lvl>
    <w:lvl w:ilvl="5">
      <w:numFmt w:val="bullet"/>
      <w:lvlText w:val=" "/>
      <w:lvlJc w:val="left"/>
      <w:pPr>
        <w:ind w:left="4320" w:hanging="360"/>
      </w:pPr>
    </w:lvl>
    <w:lvl w:ilvl="6">
      <w:numFmt w:val="bullet"/>
      <w:lvlText w:val=" "/>
      <w:lvlJc w:val="left"/>
      <w:pPr>
        <w:ind w:left="5040" w:hanging="360"/>
      </w:pPr>
    </w:lvl>
    <w:lvl w:ilvl="7">
      <w:numFmt w:val="bullet"/>
      <w:lvlText w:val=" "/>
      <w:lvlJc w:val="left"/>
      <w:pPr>
        <w:ind w:left="5760" w:hanging="360"/>
      </w:pPr>
    </w:lvl>
    <w:lvl w:ilvl="8">
      <w:numFmt w:val="bullet"/>
      <w:lvlText w:val=" "/>
      <w:lvlJc w:val="left"/>
      <w:pPr>
        <w:ind w:left="6480" w:hanging="360"/>
      </w:pPr>
    </w:lvl>
  </w:abstractNum>
  <w:abstractNum w:abstractNumId="991">
    <w:nsid w:val="0000A991"/>
    <w:multiLevelType w:val="multilevel"/>
    <w:lvl w:ilvl="0"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9201">
    <w:nsid w:val="00A99201"/>
    <w:multiLevelType w:val="multilevel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left"/>
      <w:pPr>
        <w:ind w:left="6480" w:hanging="360"/>
      </w:p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zoom w:val="bestFit"/>
  <w:embedSystemFonts/>
  <w:proofState w:grammar="clean" w:spelling="clean"/>
  <w:stylePaneFormatFilter w:val="0004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w:themeFontLang w:eastAsia="ja-JP" w:val="en-US"/>
  <w:clrSchemeMapping w:accent1="accent1" w:accent2="accent2" w:accent3="accent3" w:accent4="accent4" w:accent5="accent5" w:accent6="accent6" w:bg1="light1" w:bg2="light2" w:followedHyperlink="followedHyperlink" w:hyperlink="hyperlink" w:t1="dark1" w:t2="dark2"/>
  <w:doNotAutoCompressPictures/>
  <w:shapeDefaults>
    <o:shapedefaults spidmax="1027" v:ext="edit"/>
    <o:shapelayout v:ext="edit">
      <o:idmap data="1" v:ext="edit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cstheme="minorBidi" w:eastAsiaTheme="minorEastAsia" w:hAnsiTheme="minorHAnsi"/>
        <w:sz w:val="22"/>
        <w:szCs w:val="22"/>
        <w:lang w:bidi="ar-SA" w:eastAsia="en-US" w:val="en"/>
      </w:rPr>
    </w:rPrDefault>
    <w:pPrDefault>
      <w:pPr>
        <w:spacing w:after="200" w:line="276" w:lineRule="auto"/>
      </w:pPr>
    </w:pPrDefault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  <w:rsid w:val="00FC693F"/>
    <w:pPr>
      <w:keepNext w:val="0"/>
      <w:spacing w:after="0" w:before="0" w:line="276" w:lineRule="auto"/>
    </w:pPr>
    <w:rPr>
      <w:rFonts w:ascii="Times New Roman" w:hAnsi="Times New Roman"/>
      <w:b w:val="0"/>
      <w:i w:val="0"/>
      <w:sz w:val="22"/>
    </w:rPr>
  </w:style>
  <w:style w:styleId="Header" w:type="paragraph">
    <w:name w:val="header"/>
    <w:basedOn w:val="Normal"/>
    <w:link w:val="HeaderChar"/>
    <w:uiPriority w:val="99"/>
    <w:unhideWhenUsed/>
    <w:rsid w:val="00E618BF"/>
    <w:pPr>
      <w:tabs>
        <w:tab w:pos="4680" w:val="center"/>
        <w:tab w:pos="9360" w:val="right"/>
      </w:tabs>
      <w:spacing w:after="0" w:line="240" w:lineRule="auto"/>
    </w:pPr>
  </w:style>
  <w:style w:customStyle="1" w:styleId="HeaderChar" w:type="character">
    <w:name w:val="Header Char"/>
    <w:basedOn w:val="DefaultParagraphFont"/>
    <w:link w:val="Header"/>
    <w:uiPriority w:val="99"/>
    <w:rsid w:val="00E618BF"/>
  </w:style>
  <w:style w:styleId="Footer" w:type="paragraph">
    <w:name w:val="footer"/>
    <w:basedOn w:val="Normal"/>
    <w:link w:val="FooterChar"/>
    <w:uiPriority w:val="99"/>
    <w:unhideWhenUsed/>
    <w:rsid w:val="00E618BF"/>
    <w:pPr>
      <w:tabs>
        <w:tab w:pos="4680" w:val="center"/>
        <w:tab w:pos="9360" w:val="right"/>
      </w:tabs>
      <w:spacing w:after="0" w:line="240" w:lineRule="auto"/>
    </w:pPr>
  </w:style>
  <w:style w:customStyle="1" w:styleId="FooterChar" w:type="character">
    <w:name w:val="Footer Char"/>
    <w:basedOn w:val="DefaultParagraphFont"/>
    <w:link w:val="Footer"/>
    <w:uiPriority w:val="99"/>
    <w:rsid w:val="00E618BF"/>
  </w:style>
  <w:style w:styleId="Heading1" w:type="paragraph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after="120" w:before="240"/>
      <w:outlineLvl w:val="0"/>
    </w:pPr>
    <w:rPr>
      <w:rFonts w:ascii="Times New Roman" w:asciiTheme="majorHAnsi" w:cstheme="majorBidi" w:eastAsiaTheme="majorEastAsia" w:hAnsi="Times New Roman" w:hAnsiTheme="majorHAnsi"/>
      <w:b/>
      <w:bCs/>
      <w:i w:val="0"/>
      <w:color w:themeColor="accent1" w:themeShade="BF" w:val="365F91"/>
      <w:sz w:val="28"/>
      <w:szCs w:val="28"/>
    </w:rPr>
  </w:style>
  <w:style w:styleId="Heading2" w:type="paragraph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after="80" w:before="200"/>
      <w:outlineLvl w:val="1"/>
    </w:pPr>
    <w:rPr>
      <w:rFonts w:ascii="Times New Roman" w:asciiTheme="majorHAnsi" w:cstheme="majorBidi" w:eastAsiaTheme="majorEastAsia" w:hAnsi="Times New Roman" w:hAnsiTheme="majorHAnsi"/>
      <w:b/>
      <w:bCs/>
      <w:i w:val="0"/>
      <w:color w:themeColor="accent1" w:val="4F81BD"/>
      <w:sz w:val="24"/>
      <w:szCs w:val="26"/>
    </w:rPr>
  </w:style>
  <w:style w:styleId="Heading3" w:type="paragraph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after="80" w:before="160"/>
      <w:outlineLvl w:val="2"/>
    </w:pPr>
    <w:rPr>
      <w:rFonts w:ascii="Times New Roman" w:asciiTheme="majorHAnsi" w:cstheme="majorBidi" w:eastAsiaTheme="majorEastAsia" w:hAnsi="Times New Roman" w:hAnsiTheme="majorHAnsi"/>
      <w:b/>
      <w:bCs/>
      <w:i w:val="0"/>
      <w:color w:themeColor="accent1" w:val="4F81BD"/>
      <w:sz w:val="22"/>
    </w:rPr>
  </w:style>
  <w:style w:styleId="Heading4" w:type="paragraph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i/>
      <w:iCs/>
      <w:color w:themeColor="accent1" w:val="4F81BD"/>
    </w:rPr>
  </w:style>
  <w:style w:styleId="Heading5" w:type="paragraph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color w:themeColor="accent1" w:themeShade="7F" w:val="243F60"/>
    </w:rPr>
  </w:style>
  <w:style w:styleId="Heading6" w:type="paragraph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i/>
      <w:iCs/>
      <w:color w:themeColor="accent1" w:themeShade="7F" w:val="243F60"/>
    </w:rPr>
  </w:style>
  <w:style w:styleId="Heading7" w:type="paragraph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after="0" w:before="200"/>
      <w:outlineLvl w:val="6"/>
    </w:pPr>
    <w:rPr>
      <w:rFonts w:asciiTheme="majorHAnsi" w:cstheme="majorBidi" w:eastAsiaTheme="majorEastAsia" w:hAnsiTheme="majorHAnsi"/>
      <w:i/>
      <w:iCs/>
      <w:color w:themeColor="text1" w:themeTint="BF" w:val="404040"/>
    </w:rPr>
  </w:style>
  <w:style w:styleId="Heading8" w:type="paragraph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after="0" w:before="200"/>
      <w:outlineLvl w:val="7"/>
    </w:pPr>
    <w:rPr>
      <w:rFonts w:asciiTheme="majorHAnsi" w:cstheme="majorBidi" w:eastAsiaTheme="majorEastAsia" w:hAnsiTheme="majorHAnsi"/>
      <w:color w:themeColor="accent1" w:val="4F81BD"/>
      <w:sz w:val="20"/>
      <w:szCs w:val="20"/>
    </w:rPr>
  </w:style>
  <w:style w:styleId="Heading9" w:type="paragraph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after="0" w:before="200"/>
      <w:outlineLvl w:val="8"/>
    </w:pPr>
    <w:rPr>
      <w:rFonts w:asciiTheme="majorHAnsi" w:cstheme="majorBidi" w:eastAsiaTheme="majorEastAsia" w:hAnsiTheme="majorHAnsi"/>
      <w:i/>
      <w:iCs/>
      <w:color w:themeColor="text1" w:themeTint="BF" w:val="404040"/>
      <w:sz w:val="20"/>
      <w:szCs w:val="20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NoSpacing" w:type="paragraph">
    <w:name w:val="No Spacing"/>
    <w:uiPriority w:val="1"/>
    <w:qFormat/>
    <w:rsid w:val="00FC693F"/>
    <w:pPr>
      <w:spacing w:after="0" w:line="240" w:lineRule="auto"/>
    </w:pPr>
  </w:style>
  <w:style w:customStyle="1" w:styleId="Heading1Char" w:type="character">
    <w:name w:val="Heading 1 Char"/>
    <w:basedOn w:val="DefaultParagraphFont"/>
    <w:link w:val="Heading1"/>
    <w:uiPriority w:val="9"/>
    <w:rsid w:val="00FC693F"/>
    <w:rPr>
      <w:rFonts w:asciiTheme="majorHAnsi" w:cstheme="majorBidi" w:eastAsiaTheme="majorEastAsia" w:hAnsiTheme="majorHAnsi"/>
      <w:b/>
      <w:bCs/>
      <w:color w:themeColor="accent1" w:themeShade="BF" w:val="365F91"/>
      <w:sz w:val="28"/>
      <w:szCs w:val="28"/>
    </w:rPr>
  </w:style>
  <w:style w:customStyle="1" w:styleId="Heading2Char" w:type="character">
    <w:name w:val="Heading 2 Char"/>
    <w:basedOn w:val="DefaultParagraphFont"/>
    <w:link w:val="Heading2"/>
    <w:uiPriority w:val="9"/>
    <w:rsid w:val="00FC693F"/>
    <w:rPr>
      <w:rFonts w:asciiTheme="majorHAnsi" w:cstheme="majorBidi" w:eastAsiaTheme="majorEastAsia" w:hAnsiTheme="majorHAnsi"/>
      <w:b/>
      <w:bCs/>
      <w:color w:themeColor="accent1" w:val="4F81BD"/>
      <w:sz w:val="26"/>
      <w:szCs w:val="26"/>
    </w:rPr>
  </w:style>
  <w:style w:customStyle="1" w:styleId="Heading3Char" w:type="character">
    <w:name w:val="Heading 3 Char"/>
    <w:basedOn w:val="DefaultParagraphFont"/>
    <w:link w:val="Heading3"/>
    <w:uiPriority w:val="9"/>
    <w:rsid w:val="00FC693F"/>
    <w:rPr>
      <w:rFonts w:asciiTheme="majorHAnsi" w:cstheme="majorBidi" w:eastAsiaTheme="majorEastAsia" w:hAnsiTheme="majorHAnsi"/>
      <w:b/>
      <w:bCs/>
      <w:color w:themeColor="accent1" w:val="4F81BD"/>
    </w:rPr>
  </w:style>
  <w:style w:styleId="Title" w:type="paragraph">
    <w:name w:val="Title"/>
    <w:basedOn w:val="Normal"/>
    <w:next w:val="Normal"/>
    <w:link w:val="TitleChar"/>
    <w:uiPriority w:val="10"/>
    <w:qFormat/>
    <w:rsid w:val="00FC693F"/>
    <w:pPr>
      <w:keepNext w:val="0"/>
      <w:pBdr>
        <w:bottom w:color="4F81BD" w:space="4" w:sz="8" w:themeColor="accent1" w:val="single"/>
      </w:pBdr>
      <w:spacing w:after="160" w:before="0" w:line="240" w:lineRule="auto"/>
      <w:contextualSpacing/>
      <w:jc w:val="center"/>
    </w:pPr>
    <w:rPr>
      <w:rFonts w:ascii="Times New Roman" w:asciiTheme="majorHAnsi" w:cstheme="majorBidi" w:eastAsiaTheme="majorEastAsia" w:hAnsi="Times New Roman" w:hAnsiTheme="majorHAnsi"/>
      <w:b/>
      <w:i w:val="0"/>
      <w:color w:themeColor="text2" w:themeShade="BF" w:val="17365D"/>
      <w:spacing w:val="5"/>
      <w:kern w:val="28"/>
      <w:sz w:val="36"/>
      <w:szCs w:val="52"/>
    </w:rPr>
  </w:style>
  <w:style w:customStyle="1" w:styleId="TitleChar" w:type="character">
    <w:name w:val="Title Char"/>
    <w:basedOn w:val="DefaultParagraphFont"/>
    <w:link w:val="Title"/>
    <w:uiPriority w:val="10"/>
    <w:rsid w:val="00FC693F"/>
    <w:rPr>
      <w:rFonts w:asciiTheme="majorHAnsi" w:cstheme="majorBidi" w:eastAsiaTheme="majorEastAsia" w:hAnsiTheme="majorHAnsi"/>
      <w:color w:themeColor="text2" w:themeShade="BF" w:val="17365D"/>
      <w:spacing w:val="5"/>
      <w:kern w:val="28"/>
      <w:sz w:val="52"/>
      <w:szCs w:val="52"/>
    </w:rPr>
  </w:style>
  <w:style w:styleId="Subtitle" w:type="paragraph">
    <w:name w:val="Subtitle"/>
    <w:basedOn w:val="Normal"/>
    <w:next w:val="Normal"/>
    <w:link w:val="SubtitleChar"/>
    <w:uiPriority w:val="11"/>
    <w:qFormat/>
    <w:rsid w:val="00FC693F"/>
    <w:pPr>
      <w:keepNext w:val="0"/>
      <w:numPr>
        <w:ilvl w:val="1"/>
      </w:numPr>
      <w:spacing w:after="80" w:before="0"/>
      <w:jc w:val="center"/>
    </w:pPr>
    <w:rPr>
      <w:rFonts w:ascii="Times New Roman" w:asciiTheme="majorHAnsi" w:cstheme="majorBidi" w:eastAsiaTheme="majorEastAsia" w:hAnsi="Times New Roman" w:hAnsiTheme="majorHAnsi"/>
      <w:b w:val="0"/>
      <w:i w:val="0"/>
      <w:iCs/>
      <w:color w:themeColor="accent1" w:val="4F81BD"/>
      <w:spacing w:val="15"/>
      <w:sz w:val="24"/>
      <w:szCs w:val="24"/>
    </w:rPr>
  </w:style>
  <w:style w:customStyle="1" w:styleId="SubtitleChar" w:type="character">
    <w:name w:val="Subtitle Char"/>
    <w:basedOn w:val="DefaultParagraphFont"/>
    <w:link w:val="Subtitle"/>
    <w:uiPriority w:val="11"/>
    <w:rsid w:val="00FC693F"/>
    <w:rPr>
      <w:rFonts w:asciiTheme="majorHAnsi" w:cstheme="majorBidi" w:eastAsiaTheme="majorEastAsia" w:hAnsiTheme="majorHAnsi"/>
      <w:i/>
      <w:iCs/>
      <w:color w:themeColor="accent1" w:val="4F81BD"/>
      <w:spacing w:val="15"/>
      <w:sz w:val="24"/>
      <w:szCs w:val="24"/>
    </w:rPr>
  </w:style>
  <w:style w:styleId="ListParagraph" w:type="paragraph">
    <w:name w:val="List Paragraph"/>
    <w:basedOn w:val="Normal"/>
    <w:uiPriority w:val="34"/>
    <w:qFormat/>
    <w:rsid w:val="00FC693F"/>
    <w:pPr>
      <w:ind w:left="720"/>
      <w:contextualSpacing/>
    </w:pPr>
  </w:style>
  <w:style w:styleId="BodyText" w:type="paragraph">
    <w:name w:val="Body Text"/>
    <w:basedOn w:val="Normal"/>
    <w:link w:val="BodyTextChar"/>
    <w:uiPriority w:val="99"/>
    <w:unhideWhenUsed/>
    <w:rsid w:val="00AA1D8D"/>
    <w:pPr>
      <w:keepNext w:val="0"/>
      <w:spacing w:after="0" w:before="0" w:line="276" w:lineRule="auto"/>
      <w:jc w:val="both"/>
    </w:pPr>
    <w:rPr>
      <w:rFonts w:ascii="Times New Roman" w:hAnsi="Times New Roman"/>
      <w:b w:val="0"/>
      <w:i w:val="0"/>
      <w:sz w:val="22"/>
    </w:rPr>
  </w:style>
  <w:style w:customStyle="1" w:styleId="BodyTextChar" w:type="character">
    <w:name w:val="Body Text Char"/>
    <w:basedOn w:val="DefaultParagraphFont"/>
    <w:link w:val="BodyText"/>
    <w:uiPriority w:val="99"/>
    <w:rsid w:val="00AA1D8D"/>
  </w:style>
  <w:style w:styleId="BodyText2" w:type="paragraph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customStyle="1" w:styleId="BodyText2Char" w:type="character">
    <w:name w:val="Body Text 2 Char"/>
    <w:basedOn w:val="DefaultParagraphFont"/>
    <w:link w:val="BodyText2"/>
    <w:uiPriority w:val="99"/>
    <w:rsid w:val="00AA1D8D"/>
  </w:style>
  <w:style w:styleId="BodyText3" w:type="paragraph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customStyle="1" w:styleId="BodyText3Char" w:type="characte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styleId="List" w:type="paragraph">
    <w:name w:val="List"/>
    <w:basedOn w:val="Normal"/>
    <w:uiPriority w:val="99"/>
    <w:unhideWhenUsed/>
    <w:rsid w:val="00AA1D8D"/>
    <w:pPr>
      <w:ind w:hanging="360" w:left="360"/>
      <w:contextualSpacing/>
    </w:pPr>
  </w:style>
  <w:style w:styleId="List2" w:type="paragraph">
    <w:name w:val="List 2"/>
    <w:basedOn w:val="Normal"/>
    <w:uiPriority w:val="99"/>
    <w:unhideWhenUsed/>
    <w:rsid w:val="00326F90"/>
    <w:pPr>
      <w:ind w:hanging="360" w:left="720"/>
      <w:contextualSpacing/>
    </w:pPr>
  </w:style>
  <w:style w:styleId="List3" w:type="paragraph">
    <w:name w:val="List 3"/>
    <w:basedOn w:val="Normal"/>
    <w:uiPriority w:val="99"/>
    <w:unhideWhenUsed/>
    <w:rsid w:val="00326F90"/>
    <w:pPr>
      <w:ind w:hanging="360" w:left="1080"/>
      <w:contextualSpacing/>
    </w:pPr>
  </w:style>
  <w:style w:styleId="ListBullet" w:type="paragraph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styleId="ListBullet2" w:type="paragraph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styleId="ListBullet3" w:type="paragraph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styleId="ListNumber" w:type="paragraph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styleId="ListNumber2" w:type="paragraph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styleId="ListNumber3" w:type="paragraph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styleId="ListContinue" w:type="paragraph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styleId="ListContinue2" w:type="paragraph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styleId="ListContinue3" w:type="paragraph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styleId="MacroText" w:type="paragraph">
    <w:name w:val="macro"/>
    <w:link w:val="MacroTextChar"/>
    <w:uiPriority w:val="99"/>
    <w:unhideWhenUsed/>
    <w:rsid w:val="0029639D"/>
    <w:pPr>
      <w:tabs>
        <w:tab w:pos="576" w:val="left"/>
        <w:tab w:pos="1152" w:val="left"/>
        <w:tab w:pos="1728" w:val="left"/>
        <w:tab w:pos="2304" w:val="left"/>
        <w:tab w:pos="2880" w:val="left"/>
        <w:tab w:pos="3456" w:val="left"/>
        <w:tab w:pos="4032" w:val="left"/>
      </w:tabs>
    </w:pPr>
    <w:rPr>
      <w:rFonts w:ascii="Courier" w:hAnsi="Courier"/>
      <w:sz w:val="20"/>
      <w:szCs w:val="20"/>
    </w:rPr>
  </w:style>
  <w:style w:customStyle="1" w:styleId="MacroTextChar" w:type="characte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styleId="Quote" w:type="paragraph">
    <w:name w:val="Quote"/>
    <w:basedOn w:val="Normal"/>
    <w:next w:val="Normal"/>
    <w:link w:val="QuoteChar"/>
    <w:uiPriority w:val="29"/>
    <w:qFormat/>
    <w:rsid w:val="00FC693F"/>
    <w:rPr>
      <w:i/>
      <w:iCs/>
      <w:color w:themeColor="text1" w:val="000000"/>
    </w:rPr>
  </w:style>
  <w:style w:customStyle="1" w:styleId="QuoteChar" w:type="character">
    <w:name w:val="Quote Char"/>
    <w:basedOn w:val="DefaultParagraphFont"/>
    <w:link w:val="Quote"/>
    <w:uiPriority w:val="29"/>
    <w:rsid w:val="00FC693F"/>
    <w:rPr>
      <w:i/>
      <w:iCs/>
      <w:color w:themeColor="text1" w:val="000000"/>
    </w:rPr>
  </w:style>
  <w:style w:customStyle="1" w:styleId="Heading4Char" w:type="character">
    <w:name w:val="Heading 4 Char"/>
    <w:basedOn w:val="DefaultParagraphFont"/>
    <w:link w:val="Heading4"/>
    <w:uiPriority w:val="9"/>
    <w:semiHidden/>
    <w:rsid w:val="00FC693F"/>
    <w:rPr>
      <w:rFonts w:asciiTheme="majorHAnsi" w:cstheme="majorBidi" w:eastAsiaTheme="majorEastAsia" w:hAnsiTheme="majorHAnsi"/>
      <w:b/>
      <w:bCs/>
      <w:i/>
      <w:iCs/>
      <w:color w:themeColor="accent1" w:val="4F81BD"/>
    </w:rPr>
  </w:style>
  <w:style w:customStyle="1" w:styleId="Heading5Char" w:type="character">
    <w:name w:val="Heading 5 Char"/>
    <w:basedOn w:val="DefaultParagraphFont"/>
    <w:link w:val="Heading5"/>
    <w:uiPriority w:val="9"/>
    <w:semiHidden/>
    <w:rsid w:val="00FC693F"/>
    <w:rPr>
      <w:rFonts w:asciiTheme="majorHAnsi" w:cstheme="majorBidi" w:eastAsiaTheme="majorEastAsia" w:hAnsiTheme="majorHAnsi"/>
      <w:color w:themeColor="accent1" w:themeShade="7F" w:val="243F60"/>
    </w:rPr>
  </w:style>
  <w:style w:customStyle="1" w:styleId="Heading6Char" w:type="character">
    <w:name w:val="Heading 6 Char"/>
    <w:basedOn w:val="DefaultParagraphFont"/>
    <w:link w:val="Heading6"/>
    <w:uiPriority w:val="9"/>
    <w:semiHidden/>
    <w:rsid w:val="00FC693F"/>
    <w:rPr>
      <w:rFonts w:asciiTheme="majorHAnsi" w:cstheme="majorBidi" w:eastAsiaTheme="majorEastAsia" w:hAnsiTheme="majorHAnsi"/>
      <w:i/>
      <w:iCs/>
      <w:color w:themeColor="accent1" w:themeShade="7F" w:val="243F60"/>
    </w:rPr>
  </w:style>
  <w:style w:customStyle="1" w:styleId="Heading7Char" w:type="character">
    <w:name w:val="Heading 7 Char"/>
    <w:basedOn w:val="DefaultParagraphFont"/>
    <w:link w:val="Heading7"/>
    <w:uiPriority w:val="9"/>
    <w:semiHidden/>
    <w:rsid w:val="00FC693F"/>
    <w:rPr>
      <w:rFonts w:asciiTheme="majorHAnsi" w:cstheme="majorBidi" w:eastAsiaTheme="majorEastAsia" w:hAnsiTheme="majorHAnsi"/>
      <w:i/>
      <w:iCs/>
      <w:color w:themeColor="text1" w:themeTint="BF" w:val="404040"/>
    </w:rPr>
  </w:style>
  <w:style w:customStyle="1" w:styleId="Heading8Char" w:type="character">
    <w:name w:val="Heading 8 Char"/>
    <w:basedOn w:val="DefaultParagraphFont"/>
    <w:link w:val="Heading8"/>
    <w:uiPriority w:val="9"/>
    <w:semiHidden/>
    <w:rsid w:val="00FC693F"/>
    <w:rPr>
      <w:rFonts w:asciiTheme="majorHAnsi" w:cstheme="majorBidi" w:eastAsiaTheme="majorEastAsia" w:hAnsiTheme="majorHAnsi"/>
      <w:color w:themeColor="accent1" w:val="4F81BD"/>
      <w:sz w:val="20"/>
      <w:szCs w:val="20"/>
    </w:rPr>
  </w:style>
  <w:style w:customStyle="1" w:styleId="Heading9Char" w:type="character">
    <w:name w:val="Heading 9 Char"/>
    <w:basedOn w:val="DefaultParagraphFont"/>
    <w:link w:val="Heading9"/>
    <w:uiPriority w:val="9"/>
    <w:semiHidden/>
    <w:rsid w:val="00FC693F"/>
    <w:rPr>
      <w:rFonts w:asciiTheme="majorHAnsi" w:cstheme="majorBidi" w:eastAsiaTheme="majorEastAsia" w:hAnsiTheme="majorHAnsi"/>
      <w:i/>
      <w:iCs/>
      <w:color w:themeColor="text1" w:themeTint="BF" w:val="404040"/>
      <w:sz w:val="20"/>
      <w:szCs w:val="20"/>
    </w:rPr>
  </w:style>
  <w:style w:styleId="Caption" w:type="paragraph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themeColor="accent1" w:val="4F81BD"/>
      <w:sz w:val="18"/>
      <w:szCs w:val="18"/>
    </w:rPr>
  </w:style>
  <w:style w:styleId="Strong" w:type="character">
    <w:name w:val="Strong"/>
    <w:basedOn w:val="DefaultParagraphFont"/>
    <w:uiPriority w:val="22"/>
    <w:qFormat/>
    <w:rsid w:val="00FC693F"/>
    <w:rPr>
      <w:b/>
      <w:bCs/>
    </w:rPr>
  </w:style>
  <w:style w:styleId="Emphasis" w:type="character">
    <w:name w:val="Emphasis"/>
    <w:basedOn w:val="DefaultParagraphFont"/>
    <w:uiPriority w:val="20"/>
    <w:qFormat/>
    <w:rsid w:val="00FC693F"/>
    <w:rPr>
      <w:i/>
      <w:iCs/>
    </w:rPr>
  </w:style>
  <w:style w:styleId="IntenseQuote" w:type="paragraph">
    <w:name w:val="Intense Quote"/>
    <w:basedOn w:val="Normal"/>
    <w:next w:val="Normal"/>
    <w:link w:val="IntenseQuoteChar"/>
    <w:uiPriority w:val="30"/>
    <w:qFormat/>
    <w:rsid w:val="00FC693F"/>
    <w:pPr>
      <w:pBdr>
        <w:bottom w:color="4F81BD" w:space="4" w:sz="4" w:themeColor="accent1" w:val="single"/>
      </w:pBdr>
      <w:spacing w:after="280" w:before="200"/>
      <w:ind w:left="936" w:right="936"/>
    </w:pPr>
    <w:rPr>
      <w:b/>
      <w:bCs/>
      <w:i/>
      <w:iCs/>
      <w:color w:themeColor="accent1" w:val="4F81BD"/>
    </w:rPr>
  </w:style>
  <w:style w:customStyle="1" w:styleId="IntenseQuoteChar" w:type="character">
    <w:name w:val="Intense Quote Char"/>
    <w:basedOn w:val="DefaultParagraphFont"/>
    <w:link w:val="IntenseQuote"/>
    <w:uiPriority w:val="30"/>
    <w:rsid w:val="00FC693F"/>
    <w:rPr>
      <w:b/>
      <w:bCs/>
      <w:i/>
      <w:iCs/>
      <w:color w:themeColor="accent1" w:val="4F81BD"/>
    </w:rPr>
  </w:style>
  <w:style w:styleId="SubtleEmphasis" w:type="character">
    <w:name w:val="Subtle Emphasis"/>
    <w:basedOn w:val="DefaultParagraphFont"/>
    <w:uiPriority w:val="19"/>
    <w:qFormat/>
    <w:rsid w:val="00FC693F"/>
    <w:rPr>
      <w:i/>
      <w:iCs/>
      <w:color w:themeColor="text1" w:themeTint="7F" w:val="808080"/>
    </w:rPr>
  </w:style>
  <w:style w:styleId="IntenseEmphasis" w:type="character">
    <w:name w:val="Intense Emphasis"/>
    <w:basedOn w:val="DefaultParagraphFont"/>
    <w:uiPriority w:val="21"/>
    <w:qFormat/>
    <w:rsid w:val="00FC693F"/>
    <w:rPr>
      <w:b/>
      <w:bCs/>
      <w:i/>
      <w:iCs/>
      <w:color w:themeColor="accent1" w:val="4F81BD"/>
    </w:rPr>
  </w:style>
  <w:style w:styleId="SubtleReference" w:type="character">
    <w:name w:val="Subtle Reference"/>
    <w:basedOn w:val="DefaultParagraphFont"/>
    <w:uiPriority w:val="31"/>
    <w:qFormat/>
    <w:rsid w:val="00FC693F"/>
    <w:rPr>
      <w:smallCaps/>
      <w:color w:themeColor="accent2" w:val="C0504D"/>
      <w:u w:val="single"/>
    </w:rPr>
  </w:style>
  <w:style w:styleId="IntenseReference" w:type="character">
    <w:name w:val="Intense Reference"/>
    <w:basedOn w:val="DefaultParagraphFont"/>
    <w:uiPriority w:val="32"/>
    <w:qFormat/>
    <w:rsid w:val="00FC693F"/>
    <w:rPr>
      <w:b/>
      <w:bCs/>
      <w:smallCaps/>
      <w:color w:themeColor="accent2" w:val="C0504D"/>
      <w:spacing w:val="5"/>
      <w:u w:val="single"/>
    </w:rPr>
  </w:style>
  <w:style w:styleId="BookTitle" w:type="character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styleId="TOCHeading" w:type="paragraph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styleId="TableGrid" w:type="table">
    <w:name w:val="Table Grid"/>
    <w:basedOn w:val="TableNormal"/>
    <w:uiPriority w:val="59"/>
    <w:rsid w:val="00FC693F"/>
    <w:pPr>
      <w:spacing w:after="0" w:line="240" w:lineRule="auto"/>
    </w:pPr>
    <w:tblPr>
      <w:tblInd w:type="dxa" w:w="0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LightShading" w:type="table">
    <w:name w:val="Light Shading"/>
    <w:basedOn w:val="TableNormal"/>
    <w:uiPriority w:val="60"/>
    <w:rsid w:val="00FC693F"/>
    <w:pPr>
      <w:spacing w:after="0" w:line="240" w:lineRule="auto"/>
    </w:pPr>
    <w:rPr>
      <w:color w:themeColor="text1" w:themeShade="BF" w:val="000000"/>
    </w:rPr>
    <w:tblPr>
      <w:tblStyleRowBandSize w:val="1"/>
      <w:tblStyleColBandSize w:val="1"/>
      <w:tblInd w:type="dxa" w:w="0"/>
      <w:tblBorders>
        <w:top w:color="000000" w:space="0" w:sz="8" w:themeColor="text1" w:val="single"/>
        <w:bottom w:color="000000" w:space="0" w:sz="8" w:themeColor="tex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</w:rPr>
      <w:tblPr/>
      <w:tcPr>
        <w:tcBorders>
          <w:top w:color="000000" w:space="0" w:sz="8" w:themeColor="text1" w:val="single"/>
          <w:left w:val="nil"/>
          <w:bottom w:color="000000" w:space="0" w:sz="8" w:themeColor="text1" w:val="single"/>
          <w:right w:val="nil"/>
          <w:insideH w:val="nil"/>
          <w:insideV w:val="nil"/>
        </w:tcBorders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000000" w:space="0" w:sz="8" w:themeColor="text1" w:val="single"/>
          <w:left w:val="nil"/>
          <w:bottom w:color="000000" w:space="0" w:sz="8" w:themeColor="text1" w:val="single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C0C0C0" w:themeFill="text1" w:themeFillTint="3F" w:val="clear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color="auto" w:fill="C0C0C0" w:themeFill="text1" w:themeFillTint="3F" w:val="clear"/>
      </w:tcPr>
    </w:tblStylePr>
  </w:style>
  <w:style w:styleId="LightShading-Accent1" w:type="table">
    <w:name w:val="Light Shading Accent 1"/>
    <w:basedOn w:val="TableNormal"/>
    <w:uiPriority w:val="60"/>
    <w:rsid w:val="00FC693F"/>
    <w:pPr>
      <w:spacing w:after="0" w:line="240" w:lineRule="auto"/>
    </w:pPr>
    <w:rPr>
      <w:color w:themeColor="accent1" w:themeShade="BF" w:val="365F91"/>
    </w:rPr>
    <w:tblPr>
      <w:tblStyleRowBandSize w:val="1"/>
      <w:tblStyleColBandSize w:val="1"/>
      <w:tblInd w:type="dxa" w:w="0"/>
      <w:tblBorders>
        <w:top w:color="4F81BD" w:space="0" w:sz="8" w:themeColor="accent1" w:val="single"/>
        <w:bottom w:color="4F81BD" w:space="0" w:sz="8" w:themeColor="accen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</w:rPr>
      <w:tblPr/>
      <w:tcPr>
        <w:tcBorders>
          <w:top w:color="4F81BD" w:space="0" w:sz="8" w:themeColor="accent1" w:val="single"/>
          <w:left w:val="nil"/>
          <w:bottom w:color="4F81BD" w:space="0" w:sz="8" w:themeColor="accent1" w:val="single"/>
          <w:right w:val="nil"/>
          <w:insideH w:val="nil"/>
          <w:insideV w:val="nil"/>
        </w:tcBorders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4F81BD" w:space="0" w:sz="8" w:themeColor="accent1" w:val="single"/>
          <w:left w:val="nil"/>
          <w:bottom w:color="4F81BD" w:space="0" w:sz="8" w:themeColor="accent1" w:val="single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3DFEE" w:themeFill="accent1" w:themeFillTint="3F" w:val="clear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color="auto" w:fill="D3DFEE" w:themeFill="accent1" w:themeFillTint="3F" w:val="clear"/>
      </w:tcPr>
    </w:tblStylePr>
  </w:style>
  <w:style w:styleId="LightShading-Accent2" w:type="table">
    <w:name w:val="Light Shading Accent 2"/>
    <w:basedOn w:val="TableNormal"/>
    <w:uiPriority w:val="60"/>
    <w:rsid w:val="00FC693F"/>
    <w:pPr>
      <w:spacing w:after="0" w:line="240" w:lineRule="auto"/>
    </w:pPr>
    <w:rPr>
      <w:color w:themeColor="accent2" w:themeShade="BF" w:val="943634"/>
    </w:rPr>
    <w:tblPr>
      <w:tblStyleRowBandSize w:val="1"/>
      <w:tblStyleColBandSize w:val="1"/>
      <w:tblInd w:type="dxa" w:w="0"/>
      <w:tblBorders>
        <w:top w:color="C0504D" w:space="0" w:sz="8" w:themeColor="accent2" w:val="single"/>
        <w:bottom w:color="C0504D" w:space="0" w:sz="8" w:themeColor="accent2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</w:rPr>
      <w:tblPr/>
      <w:tcPr>
        <w:tcBorders>
          <w:top w:color="C0504D" w:space="0" w:sz="8" w:themeColor="accent2" w:val="single"/>
          <w:left w:val="nil"/>
          <w:bottom w:color="C0504D" w:space="0" w:sz="8" w:themeColor="accent2" w:val="single"/>
          <w:right w:val="nil"/>
          <w:insideH w:val="nil"/>
          <w:insideV w:val="nil"/>
        </w:tcBorders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C0504D" w:space="0" w:sz="8" w:themeColor="accent2" w:val="single"/>
          <w:left w:val="nil"/>
          <w:bottom w:color="C0504D" w:space="0" w:sz="8" w:themeColor="accent2" w:val="single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EFD3D2" w:themeFill="accent2" w:themeFillTint="3F" w:val="clear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color="auto" w:fill="EFD3D2" w:themeFill="accent2" w:themeFillTint="3F" w:val="clear"/>
      </w:tcPr>
    </w:tblStylePr>
  </w:style>
  <w:style w:styleId="LightShading-Accent3" w:type="table">
    <w:name w:val="Light Shading Accent 3"/>
    <w:basedOn w:val="TableNormal"/>
    <w:uiPriority w:val="60"/>
    <w:rsid w:val="00FC693F"/>
    <w:pPr>
      <w:spacing w:after="0" w:line="240" w:lineRule="auto"/>
    </w:pPr>
    <w:rPr>
      <w:color w:themeColor="accent3" w:themeShade="BF" w:val="76923C"/>
    </w:rPr>
    <w:tblPr>
      <w:tblStyleRowBandSize w:val="1"/>
      <w:tblStyleColBandSize w:val="1"/>
      <w:tblInd w:type="dxa" w:w="0"/>
      <w:tblBorders>
        <w:top w:color="9BBB59" w:space="0" w:sz="8" w:themeColor="accent3" w:val="single"/>
        <w:bottom w:color="9BBB59" w:space="0" w:sz="8" w:themeColor="accent3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</w:rPr>
      <w:tblPr/>
      <w:tcPr>
        <w:tcBorders>
          <w:top w:color="9BBB59" w:space="0" w:sz="8" w:themeColor="accent3" w:val="single"/>
          <w:left w:val="nil"/>
          <w:bottom w:color="9BBB59" w:space="0" w:sz="8" w:themeColor="accent3" w:val="single"/>
          <w:right w:val="nil"/>
          <w:insideH w:val="nil"/>
          <w:insideV w:val="nil"/>
        </w:tcBorders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9BBB59" w:space="0" w:sz="8" w:themeColor="accent3" w:val="single"/>
          <w:left w:val="nil"/>
          <w:bottom w:color="9BBB59" w:space="0" w:sz="8" w:themeColor="accent3" w:val="single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E6EED5" w:themeFill="accent3" w:themeFillTint="3F" w:val="clear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color="auto" w:fill="E6EED5" w:themeFill="accent3" w:themeFillTint="3F" w:val="clear"/>
      </w:tcPr>
    </w:tblStylePr>
  </w:style>
  <w:style w:styleId="LightShading-Accent4" w:type="table">
    <w:name w:val="Light Shading Accent 4"/>
    <w:basedOn w:val="TableNormal"/>
    <w:uiPriority w:val="60"/>
    <w:rsid w:val="00FC693F"/>
    <w:pPr>
      <w:spacing w:after="0" w:line="240" w:lineRule="auto"/>
    </w:pPr>
    <w:rPr>
      <w:color w:themeColor="accent4" w:themeShade="BF" w:val="5F497A"/>
    </w:rPr>
    <w:tblPr>
      <w:tblStyleRowBandSize w:val="1"/>
      <w:tblStyleColBandSize w:val="1"/>
      <w:tblInd w:type="dxa" w:w="0"/>
      <w:tblBorders>
        <w:top w:color="8064A2" w:space="0" w:sz="8" w:themeColor="accent4" w:val="single"/>
        <w:bottom w:color="8064A2" w:space="0" w:sz="8" w:themeColor="accent4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</w:rPr>
      <w:tblPr/>
      <w:tcPr>
        <w:tcBorders>
          <w:top w:color="8064A2" w:space="0" w:sz="8" w:themeColor="accent4" w:val="single"/>
          <w:left w:val="nil"/>
          <w:bottom w:color="8064A2" w:space="0" w:sz="8" w:themeColor="accent4" w:val="single"/>
          <w:right w:val="nil"/>
          <w:insideH w:val="nil"/>
          <w:insideV w:val="nil"/>
        </w:tcBorders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8064A2" w:space="0" w:sz="8" w:themeColor="accent4" w:val="single"/>
          <w:left w:val="nil"/>
          <w:bottom w:color="8064A2" w:space="0" w:sz="8" w:themeColor="accent4" w:val="single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FD8E8" w:themeFill="accent4" w:themeFillTint="3F" w:val="clear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color="auto" w:fill="DFD8E8" w:themeFill="accent4" w:themeFillTint="3F" w:val="clear"/>
      </w:tcPr>
    </w:tblStylePr>
  </w:style>
  <w:style w:styleId="LightShading-Accent5" w:type="table">
    <w:name w:val="Light Shading Accent 5"/>
    <w:basedOn w:val="TableNormal"/>
    <w:uiPriority w:val="60"/>
    <w:rsid w:val="00FC693F"/>
    <w:pPr>
      <w:spacing w:after="0" w:line="240" w:lineRule="auto"/>
    </w:pPr>
    <w:rPr>
      <w:color w:themeColor="accent5" w:themeShade="BF" w:val="31849B"/>
    </w:rPr>
    <w:tblPr>
      <w:tblStyleRowBandSize w:val="1"/>
      <w:tblStyleColBandSize w:val="1"/>
      <w:tblInd w:type="dxa" w:w="0"/>
      <w:tblBorders>
        <w:top w:color="4BACC6" w:space="0" w:sz="8" w:themeColor="accent5" w:val="single"/>
        <w:bottom w:color="4BACC6" w:space="0" w:sz="8" w:themeColor="accent5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</w:rPr>
      <w:tblPr/>
      <w:tcPr>
        <w:tcBorders>
          <w:top w:color="4BACC6" w:space="0" w:sz="8" w:themeColor="accent5" w:val="single"/>
          <w:left w:val="nil"/>
          <w:bottom w:color="4BACC6" w:space="0" w:sz="8" w:themeColor="accent5" w:val="single"/>
          <w:right w:val="nil"/>
          <w:insideH w:val="nil"/>
          <w:insideV w:val="nil"/>
        </w:tcBorders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4BACC6" w:space="0" w:sz="8" w:themeColor="accent5" w:val="single"/>
          <w:left w:val="nil"/>
          <w:bottom w:color="4BACC6" w:space="0" w:sz="8" w:themeColor="accent5" w:val="single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2EAF1" w:themeFill="accent5" w:themeFillTint="3F" w:val="clear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color="auto" w:fill="D2EAF1" w:themeFill="accent5" w:themeFillTint="3F" w:val="clear"/>
      </w:tcPr>
    </w:tblStylePr>
  </w:style>
  <w:style w:styleId="LightShading-Accent6" w:type="table">
    <w:name w:val="Light Shading Accent 6"/>
    <w:basedOn w:val="TableNormal"/>
    <w:uiPriority w:val="60"/>
    <w:rsid w:val="00FC693F"/>
    <w:pPr>
      <w:spacing w:after="0" w:line="240" w:lineRule="auto"/>
    </w:pPr>
    <w:rPr>
      <w:color w:themeColor="accent6" w:themeShade="BF" w:val="E36C0A"/>
    </w:rPr>
    <w:tblPr>
      <w:tblStyleRowBandSize w:val="1"/>
      <w:tblStyleColBandSize w:val="1"/>
      <w:tblInd w:type="dxa" w:w="0"/>
      <w:tblBorders>
        <w:top w:color="F79646" w:space="0" w:sz="8" w:themeColor="accent6" w:val="single"/>
        <w:bottom w:color="F79646" w:space="0" w:sz="8" w:themeColor="accent6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</w:rPr>
      <w:tblPr/>
      <w:tcPr>
        <w:tcBorders>
          <w:top w:color="F79646" w:space="0" w:sz="8" w:themeColor="accent6" w:val="single"/>
          <w:left w:val="nil"/>
          <w:bottom w:color="F79646" w:space="0" w:sz="8" w:themeColor="accent6" w:val="single"/>
          <w:right w:val="nil"/>
          <w:insideH w:val="nil"/>
          <w:insideV w:val="nil"/>
        </w:tcBorders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F79646" w:space="0" w:sz="8" w:themeColor="accent6" w:val="single"/>
          <w:left w:val="nil"/>
          <w:bottom w:color="F79646" w:space="0" w:sz="8" w:themeColor="accent6" w:val="single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FDE4D0" w:themeFill="accent6" w:themeFillTint="3F" w:val="clear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color="auto" w:fill="FDE4D0" w:themeFill="accent6" w:themeFillTint="3F" w:val="clear"/>
      </w:tcPr>
    </w:tblStylePr>
  </w:style>
  <w:style w:styleId="LightList" w:type="table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type="dxa" w:w="0"/>
      <w:tblBorders>
        <w:top w:color="000000" w:space="0" w:sz="8" w:themeColor="text1" w:val="single"/>
        <w:left w:color="000000" w:space="0" w:sz="8" w:themeColor="text1" w:val="single"/>
        <w:bottom w:color="000000" w:space="0" w:sz="8" w:themeColor="text1" w:val="single"/>
        <w:right w:color="000000" w:space="0" w:sz="8" w:themeColor="tex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shd w:color="auto" w:fill="000000" w:themeFill="text1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000000" w:space="0" w:sz="6" w:themeColor="text1" w:val="doub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</w:tcPr>
    </w:tblStylePr>
    <w:tblStylePr w:type="band1Horz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</w:tcPr>
    </w:tblStylePr>
  </w:style>
  <w:style w:styleId="LightList-Accent1" w:type="table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type="dxa" w:w="0"/>
      <w:tblBorders>
        <w:top w:color="4F81BD" w:space="0" w:sz="8" w:themeColor="accent1" w:val="single"/>
        <w:left w:color="4F81BD" w:space="0" w:sz="8" w:themeColor="accent1" w:val="single"/>
        <w:bottom w:color="4F81BD" w:space="0" w:sz="8" w:themeColor="accent1" w:val="single"/>
        <w:right w:color="4F81BD" w:space="0" w:sz="8" w:themeColor="accen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shd w:color="auto" w:fill="4F81BD" w:themeFill="accent1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4F81BD" w:space="0" w:sz="6" w:themeColor="accent1" w:val="double"/>
          <w:left w:color="4F81BD" w:space="0" w:sz="8" w:themeColor="accent1" w:val="single"/>
          <w:bottom w:color="4F81BD" w:space="0" w:sz="8" w:themeColor="accent1" w:val="single"/>
          <w:right w:color="4F81BD" w:space="0" w:sz="8" w:themeColor="accent1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color="4F81BD" w:space="0" w:sz="8" w:themeColor="accent1" w:val="single"/>
          <w:left w:color="4F81BD" w:space="0" w:sz="8" w:themeColor="accent1" w:val="single"/>
          <w:bottom w:color="4F81BD" w:space="0" w:sz="8" w:themeColor="accent1" w:val="single"/>
          <w:right w:color="4F81BD" w:space="0" w:sz="8" w:themeColor="accent1" w:val="single"/>
        </w:tcBorders>
      </w:tcPr>
    </w:tblStylePr>
    <w:tblStylePr w:type="band1Horz">
      <w:tblPr/>
      <w:tcPr>
        <w:tcBorders>
          <w:top w:color="4F81BD" w:space="0" w:sz="8" w:themeColor="accent1" w:val="single"/>
          <w:left w:color="4F81BD" w:space="0" w:sz="8" w:themeColor="accent1" w:val="single"/>
          <w:bottom w:color="4F81BD" w:space="0" w:sz="8" w:themeColor="accent1" w:val="single"/>
          <w:right w:color="4F81BD" w:space="0" w:sz="8" w:themeColor="accent1" w:val="single"/>
        </w:tcBorders>
      </w:tcPr>
    </w:tblStylePr>
  </w:style>
  <w:style w:styleId="LightList-Accent2" w:type="table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C0504D" w:space="0" w:sz="8" w:themeColor="accent2" w:val="single"/>
        <w:left w:color="C0504D" w:space="0" w:sz="8" w:themeColor="accent2" w:val="single"/>
        <w:bottom w:color="C0504D" w:space="0" w:sz="8" w:themeColor="accent2" w:val="single"/>
        <w:right w:color="C0504D" w:space="0" w:sz="8" w:themeColor="accent2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shd w:color="auto" w:fill="C0504D" w:themeFill="accent2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C0504D" w:space="0" w:sz="6" w:themeColor="accent2" w:val="double"/>
          <w:left w:color="C0504D" w:space="0" w:sz="8" w:themeColor="accent2" w:val="single"/>
          <w:bottom w:color="C0504D" w:space="0" w:sz="8" w:themeColor="accent2" w:val="single"/>
          <w:right w:color="C0504D" w:space="0" w:sz="8" w:themeColor="accent2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color="C0504D" w:space="0" w:sz="8" w:themeColor="accent2" w:val="single"/>
          <w:left w:color="C0504D" w:space="0" w:sz="8" w:themeColor="accent2" w:val="single"/>
          <w:bottom w:color="C0504D" w:space="0" w:sz="8" w:themeColor="accent2" w:val="single"/>
          <w:right w:color="C0504D" w:space="0" w:sz="8" w:themeColor="accent2" w:val="single"/>
        </w:tcBorders>
      </w:tcPr>
    </w:tblStylePr>
    <w:tblStylePr w:type="band1Horz">
      <w:tblPr/>
      <w:tcPr>
        <w:tcBorders>
          <w:top w:color="C0504D" w:space="0" w:sz="8" w:themeColor="accent2" w:val="single"/>
          <w:left w:color="C0504D" w:space="0" w:sz="8" w:themeColor="accent2" w:val="single"/>
          <w:bottom w:color="C0504D" w:space="0" w:sz="8" w:themeColor="accent2" w:val="single"/>
          <w:right w:color="C0504D" w:space="0" w:sz="8" w:themeColor="accent2" w:val="single"/>
        </w:tcBorders>
      </w:tcPr>
    </w:tblStylePr>
  </w:style>
  <w:style w:styleId="LightList-Accent3" w:type="table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9BBB59" w:space="0" w:sz="8" w:themeColor="accent3" w:val="single"/>
        <w:left w:color="9BBB59" w:space="0" w:sz="8" w:themeColor="accent3" w:val="single"/>
        <w:bottom w:color="9BBB59" w:space="0" w:sz="8" w:themeColor="accent3" w:val="single"/>
        <w:right w:color="9BBB59" w:space="0" w:sz="8" w:themeColor="accent3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shd w:color="auto" w:fill="9BBB59" w:themeFill="accent3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9BBB59" w:space="0" w:sz="6" w:themeColor="accent3" w:val="doub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color="9BBB59" w:space="0" w:sz="8" w:themeColor="accent3" w:val="sing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</w:tcBorders>
      </w:tcPr>
    </w:tblStylePr>
    <w:tblStylePr w:type="band1Horz">
      <w:tblPr/>
      <w:tcPr>
        <w:tcBorders>
          <w:top w:color="9BBB59" w:space="0" w:sz="8" w:themeColor="accent3" w:val="sing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</w:tcBorders>
      </w:tcPr>
    </w:tblStylePr>
  </w:style>
  <w:style w:styleId="LightList-Accent4" w:type="table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8064A2" w:space="0" w:sz="8" w:themeColor="accent4" w:val="single"/>
        <w:left w:color="8064A2" w:space="0" w:sz="8" w:themeColor="accent4" w:val="single"/>
        <w:bottom w:color="8064A2" w:space="0" w:sz="8" w:themeColor="accent4" w:val="single"/>
        <w:right w:color="8064A2" w:space="0" w:sz="8" w:themeColor="accent4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shd w:color="auto" w:fill="8064A2" w:themeFill="accent4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8064A2" w:space="0" w:sz="6" w:themeColor="accent4" w:val="double"/>
          <w:left w:color="8064A2" w:space="0" w:sz="8" w:themeColor="accent4" w:val="single"/>
          <w:bottom w:color="8064A2" w:space="0" w:sz="8" w:themeColor="accent4" w:val="single"/>
          <w:right w:color="8064A2" w:space="0" w:sz="8" w:themeColor="accent4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color="8064A2" w:space="0" w:sz="8" w:themeColor="accent4" w:val="single"/>
          <w:left w:color="8064A2" w:space="0" w:sz="8" w:themeColor="accent4" w:val="single"/>
          <w:bottom w:color="8064A2" w:space="0" w:sz="8" w:themeColor="accent4" w:val="single"/>
          <w:right w:color="8064A2" w:space="0" w:sz="8" w:themeColor="accent4" w:val="single"/>
        </w:tcBorders>
      </w:tcPr>
    </w:tblStylePr>
    <w:tblStylePr w:type="band1Horz">
      <w:tblPr/>
      <w:tcPr>
        <w:tcBorders>
          <w:top w:color="8064A2" w:space="0" w:sz="8" w:themeColor="accent4" w:val="single"/>
          <w:left w:color="8064A2" w:space="0" w:sz="8" w:themeColor="accent4" w:val="single"/>
          <w:bottom w:color="8064A2" w:space="0" w:sz="8" w:themeColor="accent4" w:val="single"/>
          <w:right w:color="8064A2" w:space="0" w:sz="8" w:themeColor="accent4" w:val="single"/>
        </w:tcBorders>
      </w:tcPr>
    </w:tblStylePr>
  </w:style>
  <w:style w:styleId="LightList-Accent5" w:type="table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4BACC6" w:space="0" w:sz="8" w:themeColor="accent5" w:val="single"/>
        <w:left w:color="4BACC6" w:space="0" w:sz="8" w:themeColor="accent5" w:val="single"/>
        <w:bottom w:color="4BACC6" w:space="0" w:sz="8" w:themeColor="accent5" w:val="single"/>
        <w:right w:color="4BACC6" w:space="0" w:sz="8" w:themeColor="accent5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shd w:color="auto" w:fill="4BACC6" w:themeFill="accent5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4BACC6" w:space="0" w:sz="6" w:themeColor="accent5" w:val="double"/>
          <w:left w:color="4BACC6" w:space="0" w:sz="8" w:themeColor="accent5" w:val="single"/>
          <w:bottom w:color="4BACC6" w:space="0" w:sz="8" w:themeColor="accent5" w:val="single"/>
          <w:right w:color="4BACC6" w:space="0" w:sz="8" w:themeColor="accent5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color="4BACC6" w:space="0" w:sz="8" w:themeColor="accent5" w:val="single"/>
          <w:left w:color="4BACC6" w:space="0" w:sz="8" w:themeColor="accent5" w:val="single"/>
          <w:bottom w:color="4BACC6" w:space="0" w:sz="8" w:themeColor="accent5" w:val="single"/>
          <w:right w:color="4BACC6" w:space="0" w:sz="8" w:themeColor="accent5" w:val="single"/>
        </w:tcBorders>
      </w:tcPr>
    </w:tblStylePr>
    <w:tblStylePr w:type="band1Horz">
      <w:tblPr/>
      <w:tcPr>
        <w:tcBorders>
          <w:top w:color="4BACC6" w:space="0" w:sz="8" w:themeColor="accent5" w:val="single"/>
          <w:left w:color="4BACC6" w:space="0" w:sz="8" w:themeColor="accent5" w:val="single"/>
          <w:bottom w:color="4BACC6" w:space="0" w:sz="8" w:themeColor="accent5" w:val="single"/>
          <w:right w:color="4BACC6" w:space="0" w:sz="8" w:themeColor="accent5" w:val="single"/>
        </w:tcBorders>
      </w:tcPr>
    </w:tblStylePr>
  </w:style>
  <w:style w:styleId="LightList-Accent6" w:type="table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79646" w:space="0" w:sz="8" w:themeColor="accent6" w:val="single"/>
        <w:left w:color="F79646" w:space="0" w:sz="8" w:themeColor="accent6" w:val="single"/>
        <w:bottom w:color="F79646" w:space="0" w:sz="8" w:themeColor="accent6" w:val="single"/>
        <w:right w:color="F79646" w:space="0" w:sz="8" w:themeColor="accent6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shd w:color="auto" w:fill="F79646" w:themeFill="accent6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F79646" w:space="0" w:sz="6" w:themeColor="accent6" w:val="double"/>
          <w:left w:color="F79646" w:space="0" w:sz="8" w:themeColor="accent6" w:val="single"/>
          <w:bottom w:color="F79646" w:space="0" w:sz="8" w:themeColor="accent6" w:val="single"/>
          <w:right w:color="F79646" w:space="0" w:sz="8" w:themeColor="accent6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color="F79646" w:space="0" w:sz="8" w:themeColor="accent6" w:val="single"/>
          <w:left w:color="F79646" w:space="0" w:sz="8" w:themeColor="accent6" w:val="single"/>
          <w:bottom w:color="F79646" w:space="0" w:sz="8" w:themeColor="accent6" w:val="single"/>
          <w:right w:color="F79646" w:space="0" w:sz="8" w:themeColor="accent6" w:val="single"/>
        </w:tcBorders>
      </w:tcPr>
    </w:tblStylePr>
    <w:tblStylePr w:type="band1Horz">
      <w:tblPr/>
      <w:tcPr>
        <w:tcBorders>
          <w:top w:color="F79646" w:space="0" w:sz="8" w:themeColor="accent6" w:val="single"/>
          <w:left w:color="F79646" w:space="0" w:sz="8" w:themeColor="accent6" w:val="single"/>
          <w:bottom w:color="F79646" w:space="0" w:sz="8" w:themeColor="accent6" w:val="single"/>
          <w:right w:color="F79646" w:space="0" w:sz="8" w:themeColor="accent6" w:val="single"/>
        </w:tcBorders>
      </w:tcPr>
    </w:tblStylePr>
  </w:style>
  <w:style w:styleId="LightGrid" w:type="table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000000" w:space="0" w:sz="8" w:themeColor="text1" w:val="single"/>
        <w:left w:color="000000" w:space="0" w:sz="8" w:themeColor="text1" w:val="single"/>
        <w:bottom w:color="000000" w:space="0" w:sz="8" w:themeColor="text1" w:val="single"/>
        <w:right w:color="000000" w:space="0" w:sz="8" w:themeColor="text1" w:val="single"/>
        <w:insideH w:color="000000" w:space="0" w:sz="8" w:themeColor="text1" w:val="single"/>
        <w:insideV w:color="000000" w:space="0" w:sz="8" w:themeColor="tex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18" w:themeColor="text1" w:val="single"/>
          <w:right w:color="000000" w:space="0" w:sz="8" w:themeColor="text1" w:val="single"/>
          <w:insideH w:val="nil"/>
          <w:insideV w:color="000000" w:space="0" w:sz="8" w:themeColor="text1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000000" w:space="0" w:sz="6" w:themeColor="text1" w:val="doub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  <w:insideH w:val="nil"/>
          <w:insideV w:color="000000" w:space="0" w:sz="8" w:themeColor="text1" w:val="single"/>
        </w:tcBorders>
      </w:tcPr>
    </w:tblStylePr>
    <w:tblStylePr w:type="firstCol">
      <w:rPr>
        <w:rFonts w:asciiTheme="majorHAnsi" w:cstheme="majorBidi" w:eastAsiaTheme="majorEastAsia" w:hAnsiTheme="majorHAnsi"/>
        <w:b/>
        <w:bCs/>
      </w:rPr>
    </w:tblStylePr>
    <w:tblStylePr w:type="lastCol">
      <w:rPr>
        <w:rFonts w:asciiTheme="majorHAnsi" w:cstheme="majorBidi" w:eastAsiaTheme="majorEastAsia" w:hAnsiTheme="majorHAnsi"/>
        <w:b/>
        <w:bCs/>
      </w:rPr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</w:tcPr>
    </w:tblStylePr>
    <w:tblStylePr w:type="band1Vert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</w:tcBorders>
        <w:shd w:color="auto" w:fill="C0C0C0" w:themeFill="text1" w:themeFillTint="3F" w:val="clear"/>
      </w:tcPr>
    </w:tblStylePr>
    <w:tblStylePr w:type="band1Horz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  <w:insideV w:color="000000" w:space="0" w:sz="8" w:themeColor="text1" w:val="single"/>
        </w:tcBorders>
        <w:shd w:color="auto" w:fill="C0C0C0" w:themeFill="text1" w:themeFillTint="3F" w:val="clear"/>
      </w:tcPr>
    </w:tblStylePr>
    <w:tblStylePr w:type="band2Horz">
      <w:tblPr/>
      <w:tcPr>
        <w:tcBorders>
          <w:top w:color="000000" w:space="0" w:sz="8" w:themeColor="text1" w:val="single"/>
          <w:left w:color="000000" w:space="0" w:sz="8" w:themeColor="text1" w:val="single"/>
          <w:bottom w:color="000000" w:space="0" w:sz="8" w:themeColor="text1" w:val="single"/>
          <w:right w:color="000000" w:space="0" w:sz="8" w:themeColor="text1" w:val="single"/>
          <w:insideV w:color="000000" w:space="0" w:sz="8" w:themeColor="text1" w:val="single"/>
        </w:tcBorders>
      </w:tcPr>
    </w:tblStylePr>
  </w:style>
  <w:style w:styleId="LightGrid-Accent1" w:type="table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4F81BD" w:space="0" w:sz="8" w:themeColor="accent1" w:val="single"/>
        <w:left w:color="4F81BD" w:space="0" w:sz="8" w:themeColor="accent1" w:val="single"/>
        <w:bottom w:color="4F81BD" w:space="0" w:sz="8" w:themeColor="accent1" w:val="single"/>
        <w:right w:color="4F81BD" w:space="0" w:sz="8" w:themeColor="accent1" w:val="single"/>
        <w:insideH w:color="4F81BD" w:space="0" w:sz="8" w:themeColor="accent1" w:val="single"/>
        <w:insideV w:color="4F81BD" w:space="0" w:sz="8" w:themeColor="accen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4F81BD" w:space="0" w:sz="8" w:themeColor="accent1" w:val="single"/>
          <w:left w:color="4F81BD" w:space="0" w:sz="8" w:themeColor="accent1" w:val="single"/>
          <w:bottom w:color="4F81BD" w:space="0" w:sz="18" w:themeColor="accent1" w:val="single"/>
          <w:right w:color="4F81BD" w:space="0" w:sz="8" w:themeColor="accent1" w:val="single"/>
          <w:insideH w:val="nil"/>
          <w:insideV w:color="4F81BD" w:space="0" w:sz="8" w:themeColor="accent1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4F81BD" w:space="0" w:sz="6" w:themeColor="accent1" w:val="double"/>
          <w:left w:color="4F81BD" w:space="0" w:sz="8" w:themeColor="accent1" w:val="single"/>
          <w:bottom w:color="4F81BD" w:space="0" w:sz="8" w:themeColor="accent1" w:val="single"/>
          <w:right w:color="4F81BD" w:space="0" w:sz="8" w:themeColor="accent1" w:val="single"/>
          <w:insideH w:val="nil"/>
          <w:insideV w:color="4F81BD" w:space="0" w:sz="8" w:themeColor="accent1" w:val="single"/>
        </w:tcBorders>
      </w:tcPr>
    </w:tblStylePr>
    <w:tblStylePr w:type="firstCol">
      <w:rPr>
        <w:rFonts w:asciiTheme="majorHAnsi" w:cstheme="majorBidi" w:eastAsiaTheme="majorEastAsia" w:hAnsiTheme="majorHAnsi"/>
        <w:b/>
        <w:bCs/>
      </w:rPr>
    </w:tblStylePr>
    <w:tblStylePr w:type="lastCol">
      <w:rPr>
        <w:rFonts w:asciiTheme="majorHAnsi" w:cstheme="majorBidi" w:eastAsiaTheme="majorEastAsia" w:hAnsiTheme="majorHAnsi"/>
        <w:b/>
        <w:bCs/>
      </w:rPr>
      <w:tblPr/>
      <w:tcPr>
        <w:tcBorders>
          <w:top w:color="4F81BD" w:space="0" w:sz="8" w:themeColor="accent1" w:val="single"/>
          <w:left w:color="4F81BD" w:space="0" w:sz="8" w:themeColor="accent1" w:val="single"/>
          <w:bottom w:color="4F81BD" w:space="0" w:sz="8" w:themeColor="accent1" w:val="single"/>
          <w:right w:color="4F81BD" w:space="0" w:sz="8" w:themeColor="accent1" w:val="single"/>
        </w:tcBorders>
      </w:tcPr>
    </w:tblStylePr>
    <w:tblStylePr w:type="band1Vert">
      <w:tblPr/>
      <w:tcPr>
        <w:tcBorders>
          <w:top w:color="4F81BD" w:space="0" w:sz="8" w:themeColor="accent1" w:val="single"/>
          <w:left w:color="4F81BD" w:space="0" w:sz="8" w:themeColor="accent1" w:val="single"/>
          <w:bottom w:color="4F81BD" w:space="0" w:sz="8" w:themeColor="accent1" w:val="single"/>
          <w:right w:color="4F81BD" w:space="0" w:sz="8" w:themeColor="accent1" w:val="single"/>
        </w:tcBorders>
        <w:shd w:color="auto" w:fill="D3DFEE" w:themeFill="accent1" w:themeFillTint="3F" w:val="clear"/>
      </w:tcPr>
    </w:tblStylePr>
    <w:tblStylePr w:type="band1Horz">
      <w:tblPr/>
      <w:tcPr>
        <w:tcBorders>
          <w:top w:color="4F81BD" w:space="0" w:sz="8" w:themeColor="accent1" w:val="single"/>
          <w:left w:color="4F81BD" w:space="0" w:sz="8" w:themeColor="accent1" w:val="single"/>
          <w:bottom w:color="4F81BD" w:space="0" w:sz="8" w:themeColor="accent1" w:val="single"/>
          <w:right w:color="4F81BD" w:space="0" w:sz="8" w:themeColor="accent1" w:val="single"/>
          <w:insideV w:color="4F81BD" w:space="0" w:sz="8" w:themeColor="accent1" w:val="single"/>
        </w:tcBorders>
        <w:shd w:color="auto" w:fill="D3DFEE" w:themeFill="accent1" w:themeFillTint="3F" w:val="clear"/>
      </w:tcPr>
    </w:tblStylePr>
    <w:tblStylePr w:type="band2Horz">
      <w:tblPr/>
      <w:tcPr>
        <w:tcBorders>
          <w:top w:color="4F81BD" w:space="0" w:sz="8" w:themeColor="accent1" w:val="single"/>
          <w:left w:color="4F81BD" w:space="0" w:sz="8" w:themeColor="accent1" w:val="single"/>
          <w:bottom w:color="4F81BD" w:space="0" w:sz="8" w:themeColor="accent1" w:val="single"/>
          <w:right w:color="4F81BD" w:space="0" w:sz="8" w:themeColor="accent1" w:val="single"/>
          <w:insideV w:color="4F81BD" w:space="0" w:sz="8" w:themeColor="accent1" w:val="single"/>
        </w:tcBorders>
      </w:tcPr>
    </w:tblStylePr>
  </w:style>
  <w:style w:styleId="LightGrid-Accent2" w:type="table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C0504D" w:space="0" w:sz="8" w:themeColor="accent2" w:val="single"/>
        <w:left w:color="C0504D" w:space="0" w:sz="8" w:themeColor="accent2" w:val="single"/>
        <w:bottom w:color="C0504D" w:space="0" w:sz="8" w:themeColor="accent2" w:val="single"/>
        <w:right w:color="C0504D" w:space="0" w:sz="8" w:themeColor="accent2" w:val="single"/>
        <w:insideH w:color="C0504D" w:space="0" w:sz="8" w:themeColor="accent2" w:val="single"/>
        <w:insideV w:color="C0504D" w:space="0" w:sz="8" w:themeColor="accent2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C0504D" w:space="0" w:sz="8" w:themeColor="accent2" w:val="single"/>
          <w:left w:color="C0504D" w:space="0" w:sz="8" w:themeColor="accent2" w:val="single"/>
          <w:bottom w:color="C0504D" w:space="0" w:sz="18" w:themeColor="accent2" w:val="single"/>
          <w:right w:color="C0504D" w:space="0" w:sz="8" w:themeColor="accent2" w:val="single"/>
          <w:insideH w:val="nil"/>
          <w:insideV w:color="C0504D" w:space="0" w:sz="8" w:themeColor="accent2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C0504D" w:space="0" w:sz="6" w:themeColor="accent2" w:val="double"/>
          <w:left w:color="C0504D" w:space="0" w:sz="8" w:themeColor="accent2" w:val="single"/>
          <w:bottom w:color="C0504D" w:space="0" w:sz="8" w:themeColor="accent2" w:val="single"/>
          <w:right w:color="C0504D" w:space="0" w:sz="8" w:themeColor="accent2" w:val="single"/>
          <w:insideH w:val="nil"/>
          <w:insideV w:color="C0504D" w:space="0" w:sz="8" w:themeColor="accent2" w:val="single"/>
        </w:tcBorders>
      </w:tcPr>
    </w:tblStylePr>
    <w:tblStylePr w:type="firstCol">
      <w:rPr>
        <w:rFonts w:asciiTheme="majorHAnsi" w:cstheme="majorBidi" w:eastAsiaTheme="majorEastAsia" w:hAnsiTheme="majorHAnsi"/>
        <w:b/>
        <w:bCs/>
      </w:rPr>
    </w:tblStylePr>
    <w:tblStylePr w:type="lastCol">
      <w:rPr>
        <w:rFonts w:asciiTheme="majorHAnsi" w:cstheme="majorBidi" w:eastAsiaTheme="majorEastAsia" w:hAnsiTheme="majorHAnsi"/>
        <w:b/>
        <w:bCs/>
      </w:rPr>
      <w:tblPr/>
      <w:tcPr>
        <w:tcBorders>
          <w:top w:color="C0504D" w:space="0" w:sz="8" w:themeColor="accent2" w:val="single"/>
          <w:left w:color="C0504D" w:space="0" w:sz="8" w:themeColor="accent2" w:val="single"/>
          <w:bottom w:color="C0504D" w:space="0" w:sz="8" w:themeColor="accent2" w:val="single"/>
          <w:right w:color="C0504D" w:space="0" w:sz="8" w:themeColor="accent2" w:val="single"/>
        </w:tcBorders>
      </w:tcPr>
    </w:tblStylePr>
    <w:tblStylePr w:type="band1Vert">
      <w:tblPr/>
      <w:tcPr>
        <w:tcBorders>
          <w:top w:color="C0504D" w:space="0" w:sz="8" w:themeColor="accent2" w:val="single"/>
          <w:left w:color="C0504D" w:space="0" w:sz="8" w:themeColor="accent2" w:val="single"/>
          <w:bottom w:color="C0504D" w:space="0" w:sz="8" w:themeColor="accent2" w:val="single"/>
          <w:right w:color="C0504D" w:space="0" w:sz="8" w:themeColor="accent2" w:val="single"/>
        </w:tcBorders>
        <w:shd w:color="auto" w:fill="EFD3D2" w:themeFill="accent2" w:themeFillTint="3F" w:val="clear"/>
      </w:tcPr>
    </w:tblStylePr>
    <w:tblStylePr w:type="band1Horz">
      <w:tblPr/>
      <w:tcPr>
        <w:tcBorders>
          <w:top w:color="C0504D" w:space="0" w:sz="8" w:themeColor="accent2" w:val="single"/>
          <w:left w:color="C0504D" w:space="0" w:sz="8" w:themeColor="accent2" w:val="single"/>
          <w:bottom w:color="C0504D" w:space="0" w:sz="8" w:themeColor="accent2" w:val="single"/>
          <w:right w:color="C0504D" w:space="0" w:sz="8" w:themeColor="accent2" w:val="single"/>
          <w:insideV w:color="C0504D" w:space="0" w:sz="8" w:themeColor="accent2" w:val="single"/>
        </w:tcBorders>
        <w:shd w:color="auto" w:fill="EFD3D2" w:themeFill="accent2" w:themeFillTint="3F" w:val="clear"/>
      </w:tcPr>
    </w:tblStylePr>
    <w:tblStylePr w:type="band2Horz">
      <w:tblPr/>
      <w:tcPr>
        <w:tcBorders>
          <w:top w:color="C0504D" w:space="0" w:sz="8" w:themeColor="accent2" w:val="single"/>
          <w:left w:color="C0504D" w:space="0" w:sz="8" w:themeColor="accent2" w:val="single"/>
          <w:bottom w:color="C0504D" w:space="0" w:sz="8" w:themeColor="accent2" w:val="single"/>
          <w:right w:color="C0504D" w:space="0" w:sz="8" w:themeColor="accent2" w:val="single"/>
          <w:insideV w:color="C0504D" w:space="0" w:sz="8" w:themeColor="accent2" w:val="single"/>
        </w:tcBorders>
      </w:tcPr>
    </w:tblStylePr>
  </w:style>
  <w:style w:styleId="LightGrid-Accent3" w:type="table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9BBB59" w:space="0" w:sz="8" w:themeColor="accent3" w:val="single"/>
        <w:left w:color="9BBB59" w:space="0" w:sz="8" w:themeColor="accent3" w:val="single"/>
        <w:bottom w:color="9BBB59" w:space="0" w:sz="8" w:themeColor="accent3" w:val="single"/>
        <w:right w:color="9BBB59" w:space="0" w:sz="8" w:themeColor="accent3" w:val="single"/>
        <w:insideH w:color="9BBB59" w:space="0" w:sz="8" w:themeColor="accent3" w:val="single"/>
        <w:insideV w:color="9BBB59" w:space="0" w:sz="8" w:themeColor="accent3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9BBB59" w:space="0" w:sz="8" w:themeColor="accent3" w:val="single"/>
          <w:left w:color="9BBB59" w:space="0" w:sz="8" w:themeColor="accent3" w:val="single"/>
          <w:bottom w:color="9BBB59" w:space="0" w:sz="18" w:themeColor="accent3" w:val="single"/>
          <w:right w:color="9BBB59" w:space="0" w:sz="8" w:themeColor="accent3" w:val="single"/>
          <w:insideH w:val="nil"/>
          <w:insideV w:color="9BBB59" w:space="0" w:sz="8" w:themeColor="accent3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9BBB59" w:space="0" w:sz="6" w:themeColor="accent3" w:val="doub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  <w:insideH w:val="nil"/>
          <w:insideV w:color="9BBB59" w:space="0" w:sz="8" w:themeColor="accent3" w:val="single"/>
        </w:tcBorders>
      </w:tcPr>
    </w:tblStylePr>
    <w:tblStylePr w:type="firstCol">
      <w:rPr>
        <w:rFonts w:asciiTheme="majorHAnsi" w:cstheme="majorBidi" w:eastAsiaTheme="majorEastAsia" w:hAnsiTheme="majorHAnsi"/>
        <w:b/>
        <w:bCs/>
      </w:rPr>
    </w:tblStylePr>
    <w:tblStylePr w:type="lastCol">
      <w:rPr>
        <w:rFonts w:asciiTheme="majorHAnsi" w:cstheme="majorBidi" w:eastAsiaTheme="majorEastAsia" w:hAnsiTheme="majorHAnsi"/>
        <w:b/>
        <w:bCs/>
      </w:rPr>
      <w:tblPr/>
      <w:tcPr>
        <w:tcBorders>
          <w:top w:color="9BBB59" w:space="0" w:sz="8" w:themeColor="accent3" w:val="sing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</w:tcBorders>
      </w:tcPr>
    </w:tblStylePr>
    <w:tblStylePr w:type="band1Vert">
      <w:tblPr/>
      <w:tcPr>
        <w:tcBorders>
          <w:top w:color="9BBB59" w:space="0" w:sz="8" w:themeColor="accent3" w:val="sing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</w:tcBorders>
        <w:shd w:color="auto" w:fill="E6EED5" w:themeFill="accent3" w:themeFillTint="3F" w:val="clear"/>
      </w:tcPr>
    </w:tblStylePr>
    <w:tblStylePr w:type="band1Horz">
      <w:tblPr/>
      <w:tcPr>
        <w:tcBorders>
          <w:top w:color="9BBB59" w:space="0" w:sz="8" w:themeColor="accent3" w:val="sing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  <w:insideV w:color="9BBB59" w:space="0" w:sz="8" w:themeColor="accent3" w:val="single"/>
        </w:tcBorders>
        <w:shd w:color="auto" w:fill="E6EED5" w:themeFill="accent3" w:themeFillTint="3F" w:val="clear"/>
      </w:tcPr>
    </w:tblStylePr>
    <w:tblStylePr w:type="band2Horz">
      <w:tblPr/>
      <w:tcPr>
        <w:tcBorders>
          <w:top w:color="9BBB59" w:space="0" w:sz="8" w:themeColor="accent3" w:val="sing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  <w:insideV w:color="9BBB59" w:space="0" w:sz="8" w:themeColor="accent3" w:val="single"/>
        </w:tcBorders>
      </w:tcPr>
    </w:tblStylePr>
  </w:style>
  <w:style w:styleId="LightGrid-Accent4" w:type="table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8064A2" w:space="0" w:sz="8" w:themeColor="accent4" w:val="single"/>
        <w:left w:color="8064A2" w:space="0" w:sz="8" w:themeColor="accent4" w:val="single"/>
        <w:bottom w:color="8064A2" w:space="0" w:sz="8" w:themeColor="accent4" w:val="single"/>
        <w:right w:color="8064A2" w:space="0" w:sz="8" w:themeColor="accent4" w:val="single"/>
        <w:insideH w:color="8064A2" w:space="0" w:sz="8" w:themeColor="accent4" w:val="single"/>
        <w:insideV w:color="8064A2" w:space="0" w:sz="8" w:themeColor="accent4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8064A2" w:space="0" w:sz="8" w:themeColor="accent4" w:val="single"/>
          <w:left w:color="8064A2" w:space="0" w:sz="8" w:themeColor="accent4" w:val="single"/>
          <w:bottom w:color="8064A2" w:space="0" w:sz="18" w:themeColor="accent4" w:val="single"/>
          <w:right w:color="8064A2" w:space="0" w:sz="8" w:themeColor="accent4" w:val="single"/>
          <w:insideH w:val="nil"/>
          <w:insideV w:color="8064A2" w:space="0" w:sz="8" w:themeColor="accent4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8064A2" w:space="0" w:sz="6" w:themeColor="accent4" w:val="double"/>
          <w:left w:color="8064A2" w:space="0" w:sz="8" w:themeColor="accent4" w:val="single"/>
          <w:bottom w:color="8064A2" w:space="0" w:sz="8" w:themeColor="accent4" w:val="single"/>
          <w:right w:color="8064A2" w:space="0" w:sz="8" w:themeColor="accent4" w:val="single"/>
          <w:insideH w:val="nil"/>
          <w:insideV w:color="8064A2" w:space="0" w:sz="8" w:themeColor="accent4" w:val="single"/>
        </w:tcBorders>
      </w:tcPr>
    </w:tblStylePr>
    <w:tblStylePr w:type="firstCol">
      <w:rPr>
        <w:rFonts w:asciiTheme="majorHAnsi" w:cstheme="majorBidi" w:eastAsiaTheme="majorEastAsia" w:hAnsiTheme="majorHAnsi"/>
        <w:b/>
        <w:bCs/>
      </w:rPr>
    </w:tblStylePr>
    <w:tblStylePr w:type="lastCol">
      <w:rPr>
        <w:rFonts w:asciiTheme="majorHAnsi" w:cstheme="majorBidi" w:eastAsiaTheme="majorEastAsia" w:hAnsiTheme="majorHAnsi"/>
        <w:b/>
        <w:bCs/>
      </w:rPr>
      <w:tblPr/>
      <w:tcPr>
        <w:tcBorders>
          <w:top w:color="8064A2" w:space="0" w:sz="8" w:themeColor="accent4" w:val="single"/>
          <w:left w:color="8064A2" w:space="0" w:sz="8" w:themeColor="accent4" w:val="single"/>
          <w:bottom w:color="8064A2" w:space="0" w:sz="8" w:themeColor="accent4" w:val="single"/>
          <w:right w:color="8064A2" w:space="0" w:sz="8" w:themeColor="accent4" w:val="single"/>
        </w:tcBorders>
      </w:tcPr>
    </w:tblStylePr>
    <w:tblStylePr w:type="band1Vert">
      <w:tblPr/>
      <w:tcPr>
        <w:tcBorders>
          <w:top w:color="8064A2" w:space="0" w:sz="8" w:themeColor="accent4" w:val="single"/>
          <w:left w:color="8064A2" w:space="0" w:sz="8" w:themeColor="accent4" w:val="single"/>
          <w:bottom w:color="8064A2" w:space="0" w:sz="8" w:themeColor="accent4" w:val="single"/>
          <w:right w:color="8064A2" w:space="0" w:sz="8" w:themeColor="accent4" w:val="single"/>
        </w:tcBorders>
        <w:shd w:color="auto" w:fill="DFD8E8" w:themeFill="accent4" w:themeFillTint="3F" w:val="clear"/>
      </w:tcPr>
    </w:tblStylePr>
    <w:tblStylePr w:type="band1Horz">
      <w:tblPr/>
      <w:tcPr>
        <w:tcBorders>
          <w:top w:color="8064A2" w:space="0" w:sz="8" w:themeColor="accent4" w:val="single"/>
          <w:left w:color="8064A2" w:space="0" w:sz="8" w:themeColor="accent4" w:val="single"/>
          <w:bottom w:color="8064A2" w:space="0" w:sz="8" w:themeColor="accent4" w:val="single"/>
          <w:right w:color="8064A2" w:space="0" w:sz="8" w:themeColor="accent4" w:val="single"/>
          <w:insideV w:color="8064A2" w:space="0" w:sz="8" w:themeColor="accent4" w:val="single"/>
        </w:tcBorders>
        <w:shd w:color="auto" w:fill="DFD8E8" w:themeFill="accent4" w:themeFillTint="3F" w:val="clear"/>
      </w:tcPr>
    </w:tblStylePr>
    <w:tblStylePr w:type="band2Horz">
      <w:tblPr/>
      <w:tcPr>
        <w:tcBorders>
          <w:top w:color="8064A2" w:space="0" w:sz="8" w:themeColor="accent4" w:val="single"/>
          <w:left w:color="8064A2" w:space="0" w:sz="8" w:themeColor="accent4" w:val="single"/>
          <w:bottom w:color="8064A2" w:space="0" w:sz="8" w:themeColor="accent4" w:val="single"/>
          <w:right w:color="8064A2" w:space="0" w:sz="8" w:themeColor="accent4" w:val="single"/>
          <w:insideV w:color="8064A2" w:space="0" w:sz="8" w:themeColor="accent4" w:val="single"/>
        </w:tcBorders>
      </w:tcPr>
    </w:tblStylePr>
  </w:style>
  <w:style w:styleId="LightGrid-Accent5" w:type="table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4BACC6" w:space="0" w:sz="8" w:themeColor="accent5" w:val="single"/>
        <w:left w:color="4BACC6" w:space="0" w:sz="8" w:themeColor="accent5" w:val="single"/>
        <w:bottom w:color="4BACC6" w:space="0" w:sz="8" w:themeColor="accent5" w:val="single"/>
        <w:right w:color="4BACC6" w:space="0" w:sz="8" w:themeColor="accent5" w:val="single"/>
        <w:insideH w:color="4BACC6" w:space="0" w:sz="8" w:themeColor="accent5" w:val="single"/>
        <w:insideV w:color="4BACC6" w:space="0" w:sz="8" w:themeColor="accent5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4BACC6" w:space="0" w:sz="8" w:themeColor="accent5" w:val="single"/>
          <w:left w:color="4BACC6" w:space="0" w:sz="8" w:themeColor="accent5" w:val="single"/>
          <w:bottom w:color="4BACC6" w:space="0" w:sz="18" w:themeColor="accent5" w:val="single"/>
          <w:right w:color="4BACC6" w:space="0" w:sz="8" w:themeColor="accent5" w:val="single"/>
          <w:insideH w:val="nil"/>
          <w:insideV w:color="4BACC6" w:space="0" w:sz="8" w:themeColor="accent5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4BACC6" w:space="0" w:sz="6" w:themeColor="accent5" w:val="double"/>
          <w:left w:color="4BACC6" w:space="0" w:sz="8" w:themeColor="accent5" w:val="single"/>
          <w:bottom w:color="4BACC6" w:space="0" w:sz="8" w:themeColor="accent5" w:val="single"/>
          <w:right w:color="4BACC6" w:space="0" w:sz="8" w:themeColor="accent5" w:val="single"/>
          <w:insideH w:val="nil"/>
          <w:insideV w:color="4BACC6" w:space="0" w:sz="8" w:themeColor="accent5" w:val="single"/>
        </w:tcBorders>
      </w:tcPr>
    </w:tblStylePr>
    <w:tblStylePr w:type="firstCol">
      <w:rPr>
        <w:rFonts w:asciiTheme="majorHAnsi" w:cstheme="majorBidi" w:eastAsiaTheme="majorEastAsia" w:hAnsiTheme="majorHAnsi"/>
        <w:b/>
        <w:bCs/>
      </w:rPr>
    </w:tblStylePr>
    <w:tblStylePr w:type="lastCol">
      <w:rPr>
        <w:rFonts w:asciiTheme="majorHAnsi" w:cstheme="majorBidi" w:eastAsiaTheme="majorEastAsia" w:hAnsiTheme="majorHAnsi"/>
        <w:b/>
        <w:bCs/>
      </w:rPr>
      <w:tblPr/>
      <w:tcPr>
        <w:tcBorders>
          <w:top w:color="4BACC6" w:space="0" w:sz="8" w:themeColor="accent5" w:val="single"/>
          <w:left w:color="4BACC6" w:space="0" w:sz="8" w:themeColor="accent5" w:val="single"/>
          <w:bottom w:color="4BACC6" w:space="0" w:sz="8" w:themeColor="accent5" w:val="single"/>
          <w:right w:color="4BACC6" w:space="0" w:sz="8" w:themeColor="accent5" w:val="single"/>
        </w:tcBorders>
      </w:tcPr>
    </w:tblStylePr>
    <w:tblStylePr w:type="band1Vert">
      <w:tblPr/>
      <w:tcPr>
        <w:tcBorders>
          <w:top w:color="4BACC6" w:space="0" w:sz="8" w:themeColor="accent5" w:val="single"/>
          <w:left w:color="4BACC6" w:space="0" w:sz="8" w:themeColor="accent5" w:val="single"/>
          <w:bottom w:color="4BACC6" w:space="0" w:sz="8" w:themeColor="accent5" w:val="single"/>
          <w:right w:color="4BACC6" w:space="0" w:sz="8" w:themeColor="accent5" w:val="single"/>
        </w:tcBorders>
        <w:shd w:color="auto" w:fill="D2EAF1" w:themeFill="accent5" w:themeFillTint="3F" w:val="clear"/>
      </w:tcPr>
    </w:tblStylePr>
    <w:tblStylePr w:type="band1Horz">
      <w:tblPr/>
      <w:tcPr>
        <w:tcBorders>
          <w:top w:color="4BACC6" w:space="0" w:sz="8" w:themeColor="accent5" w:val="single"/>
          <w:left w:color="4BACC6" w:space="0" w:sz="8" w:themeColor="accent5" w:val="single"/>
          <w:bottom w:color="4BACC6" w:space="0" w:sz="8" w:themeColor="accent5" w:val="single"/>
          <w:right w:color="4BACC6" w:space="0" w:sz="8" w:themeColor="accent5" w:val="single"/>
          <w:insideV w:color="4BACC6" w:space="0" w:sz="8" w:themeColor="accent5" w:val="single"/>
        </w:tcBorders>
        <w:shd w:color="auto" w:fill="D2EAF1" w:themeFill="accent5" w:themeFillTint="3F" w:val="clear"/>
      </w:tcPr>
    </w:tblStylePr>
    <w:tblStylePr w:type="band2Horz">
      <w:tblPr/>
      <w:tcPr>
        <w:tcBorders>
          <w:top w:color="4BACC6" w:space="0" w:sz="8" w:themeColor="accent5" w:val="single"/>
          <w:left w:color="4BACC6" w:space="0" w:sz="8" w:themeColor="accent5" w:val="single"/>
          <w:bottom w:color="4BACC6" w:space="0" w:sz="8" w:themeColor="accent5" w:val="single"/>
          <w:right w:color="4BACC6" w:space="0" w:sz="8" w:themeColor="accent5" w:val="single"/>
          <w:insideV w:color="4BACC6" w:space="0" w:sz="8" w:themeColor="accent5" w:val="single"/>
        </w:tcBorders>
      </w:tcPr>
    </w:tblStylePr>
  </w:style>
  <w:style w:styleId="LightGrid-Accent6" w:type="table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79646" w:space="0" w:sz="8" w:themeColor="accent6" w:val="single"/>
        <w:left w:color="F79646" w:space="0" w:sz="8" w:themeColor="accent6" w:val="single"/>
        <w:bottom w:color="F79646" w:space="0" w:sz="8" w:themeColor="accent6" w:val="single"/>
        <w:right w:color="F79646" w:space="0" w:sz="8" w:themeColor="accent6" w:val="single"/>
        <w:insideH w:color="F79646" w:space="0" w:sz="8" w:themeColor="accent6" w:val="single"/>
        <w:insideV w:color="F79646" w:space="0" w:sz="8" w:themeColor="accent6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F79646" w:space="0" w:sz="8" w:themeColor="accent6" w:val="single"/>
          <w:left w:color="F79646" w:space="0" w:sz="8" w:themeColor="accent6" w:val="single"/>
          <w:bottom w:color="F79646" w:space="0" w:sz="18" w:themeColor="accent6" w:val="single"/>
          <w:right w:color="F79646" w:space="0" w:sz="8" w:themeColor="accent6" w:val="single"/>
          <w:insideH w:val="nil"/>
          <w:insideV w:color="F79646" w:space="0" w:sz="8" w:themeColor="accent6" w:val="single"/>
        </w:tcBorders>
      </w:tcPr>
    </w:tblStylePr>
    <w:tblStylePr w:type="lastRow">
      <w:pPr>
        <w:spacing w:after="0" w:before="0" w:line="240" w:lineRule="auto"/>
      </w:pPr>
      <w:rPr>
        <w:rFonts w:asciiTheme="majorHAnsi" w:cstheme="majorBidi" w:eastAsiaTheme="majorEastAsia" w:hAnsiTheme="majorHAnsi"/>
        <w:b/>
        <w:bCs/>
      </w:rPr>
      <w:tblPr/>
      <w:tcPr>
        <w:tcBorders>
          <w:top w:color="F79646" w:space="0" w:sz="6" w:themeColor="accent6" w:val="double"/>
          <w:left w:color="F79646" w:space="0" w:sz="8" w:themeColor="accent6" w:val="single"/>
          <w:bottom w:color="F79646" w:space="0" w:sz="8" w:themeColor="accent6" w:val="single"/>
          <w:right w:color="F79646" w:space="0" w:sz="8" w:themeColor="accent6" w:val="single"/>
          <w:insideH w:val="nil"/>
          <w:insideV w:color="F79646" w:space="0" w:sz="8" w:themeColor="accent6" w:val="single"/>
        </w:tcBorders>
      </w:tcPr>
    </w:tblStylePr>
    <w:tblStylePr w:type="firstCol">
      <w:rPr>
        <w:rFonts w:asciiTheme="majorHAnsi" w:cstheme="majorBidi" w:eastAsiaTheme="majorEastAsia" w:hAnsiTheme="majorHAnsi"/>
        <w:b/>
        <w:bCs/>
      </w:rPr>
    </w:tblStylePr>
    <w:tblStylePr w:type="lastCol">
      <w:rPr>
        <w:rFonts w:asciiTheme="majorHAnsi" w:cstheme="majorBidi" w:eastAsiaTheme="majorEastAsia" w:hAnsiTheme="majorHAnsi"/>
        <w:b/>
        <w:bCs/>
      </w:rPr>
      <w:tblPr/>
      <w:tcPr>
        <w:tcBorders>
          <w:top w:color="F79646" w:space="0" w:sz="8" w:themeColor="accent6" w:val="single"/>
          <w:left w:color="F79646" w:space="0" w:sz="8" w:themeColor="accent6" w:val="single"/>
          <w:bottom w:color="F79646" w:space="0" w:sz="8" w:themeColor="accent6" w:val="single"/>
          <w:right w:color="F79646" w:space="0" w:sz="8" w:themeColor="accent6" w:val="single"/>
        </w:tcBorders>
      </w:tcPr>
    </w:tblStylePr>
    <w:tblStylePr w:type="band1Vert">
      <w:tblPr/>
      <w:tcPr>
        <w:tcBorders>
          <w:top w:color="F79646" w:space="0" w:sz="8" w:themeColor="accent6" w:val="single"/>
          <w:left w:color="F79646" w:space="0" w:sz="8" w:themeColor="accent6" w:val="single"/>
          <w:bottom w:color="F79646" w:space="0" w:sz="8" w:themeColor="accent6" w:val="single"/>
          <w:right w:color="F79646" w:space="0" w:sz="8" w:themeColor="accent6" w:val="single"/>
        </w:tcBorders>
        <w:shd w:color="auto" w:fill="FDE4D0" w:themeFill="accent6" w:themeFillTint="3F" w:val="clear"/>
      </w:tcPr>
    </w:tblStylePr>
    <w:tblStylePr w:type="band1Horz">
      <w:tblPr/>
      <w:tcPr>
        <w:tcBorders>
          <w:top w:color="F79646" w:space="0" w:sz="8" w:themeColor="accent6" w:val="single"/>
          <w:left w:color="F79646" w:space="0" w:sz="8" w:themeColor="accent6" w:val="single"/>
          <w:bottom w:color="F79646" w:space="0" w:sz="8" w:themeColor="accent6" w:val="single"/>
          <w:right w:color="F79646" w:space="0" w:sz="8" w:themeColor="accent6" w:val="single"/>
          <w:insideV w:color="F79646" w:space="0" w:sz="8" w:themeColor="accent6" w:val="single"/>
        </w:tcBorders>
        <w:shd w:color="auto" w:fill="FDE4D0" w:themeFill="accent6" w:themeFillTint="3F" w:val="clear"/>
      </w:tcPr>
    </w:tblStylePr>
    <w:tblStylePr w:type="band2Horz">
      <w:tblPr/>
      <w:tcPr>
        <w:tcBorders>
          <w:top w:color="F79646" w:space="0" w:sz="8" w:themeColor="accent6" w:val="single"/>
          <w:left w:color="F79646" w:space="0" w:sz="8" w:themeColor="accent6" w:val="single"/>
          <w:bottom w:color="F79646" w:space="0" w:sz="8" w:themeColor="accent6" w:val="single"/>
          <w:right w:color="F79646" w:space="0" w:sz="8" w:themeColor="accent6" w:val="single"/>
          <w:insideV w:color="F79646" w:space="0" w:sz="8" w:themeColor="accent6" w:val="single"/>
        </w:tcBorders>
      </w:tcPr>
    </w:tblStylePr>
  </w:style>
  <w:style w:styleId="MediumShading1" w:type="table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404040" w:space="0" w:sz="8" w:themeColor="text1" w:themeTint="BF" w:val="single"/>
        <w:left w:color="404040" w:space="0" w:sz="8" w:themeColor="text1" w:themeTint="BF" w:val="single"/>
        <w:bottom w:color="404040" w:space="0" w:sz="8" w:themeColor="text1" w:themeTint="BF" w:val="single"/>
        <w:right w:color="404040" w:space="0" w:sz="8" w:themeColor="text1" w:themeTint="BF" w:val="single"/>
        <w:insideH w:color="404040" w:space="0" w:sz="8" w:themeColor="text1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404040" w:space="0" w:sz="8" w:themeColor="text1" w:themeTint="BF" w:val="single"/>
          <w:left w:color="404040" w:space="0" w:sz="8" w:themeColor="text1" w:themeTint="BF" w:val="single"/>
          <w:bottom w:color="404040" w:space="0" w:sz="8" w:themeColor="text1" w:themeTint="BF" w:val="single"/>
          <w:right w:color="404040" w:space="0" w:sz="8" w:themeColor="text1" w:themeTint="BF" w:val="single"/>
          <w:insideH w:val="nil"/>
          <w:insideV w:val="nil"/>
        </w:tcBorders>
        <w:shd w:color="auto" w:fill="000000" w:themeFill="text1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404040" w:space="0" w:sz="6" w:themeColor="text1" w:themeTint="BF" w:val="double"/>
          <w:left w:color="404040" w:space="0" w:sz="8" w:themeColor="text1" w:themeTint="BF" w:val="single"/>
          <w:bottom w:color="404040" w:space="0" w:sz="8" w:themeColor="text1" w:themeTint="BF" w:val="single"/>
          <w:right w:color="404040" w:space="0" w:sz="8" w:themeColor="text1" w:themeTint="BF" w:val="single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C0C0C0" w:themeFill="text1" w:themeFillTint="3F" w:val="clear"/>
      </w:tcPr>
    </w:tblStylePr>
    <w:tblStylePr w:type="band1Horz">
      <w:tblPr/>
      <w:tcPr>
        <w:tcBorders>
          <w:insideH w:val="nil"/>
          <w:insideV w:val="nil"/>
        </w:tcBorders>
        <w:shd w:color="auto" w:fill="C0C0C0" w:themeFill="text1" w:themeFillTint="3F" w:val="clear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styleId="MediumShading1-Accent1" w:type="table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7BA0CD" w:space="0" w:sz="8" w:themeColor="accent1" w:themeTint="BF" w:val="single"/>
        <w:left w:color="7BA0CD" w:space="0" w:sz="8" w:themeColor="accent1" w:themeTint="BF" w:val="single"/>
        <w:bottom w:color="7BA0CD" w:space="0" w:sz="8" w:themeColor="accent1" w:themeTint="BF" w:val="single"/>
        <w:right w:color="7BA0CD" w:space="0" w:sz="8" w:themeColor="accent1" w:themeTint="BF" w:val="single"/>
        <w:insideH w:color="7BA0CD" w:space="0" w:sz="8" w:themeColor="accent1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7BA0CD" w:space="0" w:sz="8" w:themeColor="accent1" w:themeTint="BF" w:val="single"/>
          <w:left w:color="7BA0CD" w:space="0" w:sz="8" w:themeColor="accent1" w:themeTint="BF" w:val="single"/>
          <w:bottom w:color="7BA0CD" w:space="0" w:sz="8" w:themeColor="accent1" w:themeTint="BF" w:val="single"/>
          <w:right w:color="7BA0CD" w:space="0" w:sz="8" w:themeColor="accent1" w:themeTint="BF" w:val="single"/>
          <w:insideH w:val="nil"/>
          <w:insideV w:val="nil"/>
        </w:tcBorders>
        <w:shd w:color="auto" w:fill="4F81BD" w:themeFill="accent1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7BA0CD" w:space="0" w:sz="6" w:themeColor="accent1" w:themeTint="BF" w:val="double"/>
          <w:left w:color="7BA0CD" w:space="0" w:sz="8" w:themeColor="accent1" w:themeTint="BF" w:val="single"/>
          <w:bottom w:color="7BA0CD" w:space="0" w:sz="8" w:themeColor="accent1" w:themeTint="BF" w:val="single"/>
          <w:right w:color="7BA0CD" w:space="0" w:sz="8" w:themeColor="accent1" w:themeTint="BF" w:val="single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D3DFEE" w:themeFill="accent1" w:themeFillTint="3F" w:val="clear"/>
      </w:tcPr>
    </w:tblStylePr>
    <w:tblStylePr w:type="band1Horz">
      <w:tblPr/>
      <w:tcPr>
        <w:tcBorders>
          <w:insideH w:val="nil"/>
          <w:insideV w:val="nil"/>
        </w:tcBorders>
        <w:shd w:color="auto" w:fill="D3DFEE" w:themeFill="accent1" w:themeFillTint="3F" w:val="clear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styleId="MediumShading1-Accent2" w:type="table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CF7B79" w:space="0" w:sz="8" w:themeColor="accent2" w:themeTint="BF" w:val="single"/>
        <w:left w:color="CF7B79" w:space="0" w:sz="8" w:themeColor="accent2" w:themeTint="BF" w:val="single"/>
        <w:bottom w:color="CF7B79" w:space="0" w:sz="8" w:themeColor="accent2" w:themeTint="BF" w:val="single"/>
        <w:right w:color="CF7B79" w:space="0" w:sz="8" w:themeColor="accent2" w:themeTint="BF" w:val="single"/>
        <w:insideH w:color="CF7B79" w:space="0" w:sz="8" w:themeColor="accent2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CF7B79" w:space="0" w:sz="8" w:themeColor="accent2" w:themeTint="BF" w:val="single"/>
          <w:left w:color="CF7B79" w:space="0" w:sz="8" w:themeColor="accent2" w:themeTint="BF" w:val="single"/>
          <w:bottom w:color="CF7B79" w:space="0" w:sz="8" w:themeColor="accent2" w:themeTint="BF" w:val="single"/>
          <w:right w:color="CF7B79" w:space="0" w:sz="8" w:themeColor="accent2" w:themeTint="BF" w:val="single"/>
          <w:insideH w:val="nil"/>
          <w:insideV w:val="nil"/>
        </w:tcBorders>
        <w:shd w:color="auto" w:fill="C0504D" w:themeFill="accent2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CF7B79" w:space="0" w:sz="6" w:themeColor="accent2" w:themeTint="BF" w:val="double"/>
          <w:left w:color="CF7B79" w:space="0" w:sz="8" w:themeColor="accent2" w:themeTint="BF" w:val="single"/>
          <w:bottom w:color="CF7B79" w:space="0" w:sz="8" w:themeColor="accent2" w:themeTint="BF" w:val="single"/>
          <w:right w:color="CF7B79" w:space="0" w:sz="8" w:themeColor="accent2" w:themeTint="BF" w:val="single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EFD3D2" w:themeFill="accent2" w:themeFillTint="3F" w:val="clear"/>
      </w:tcPr>
    </w:tblStylePr>
    <w:tblStylePr w:type="band1Horz">
      <w:tblPr/>
      <w:tcPr>
        <w:tcBorders>
          <w:insideH w:val="nil"/>
          <w:insideV w:val="nil"/>
        </w:tcBorders>
        <w:shd w:color="auto" w:fill="EFD3D2" w:themeFill="accent2" w:themeFillTint="3F" w:val="clear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styleId="MediumShading1-Accent3" w:type="table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B3CC82" w:space="0" w:sz="8" w:themeColor="accent3" w:themeTint="BF" w:val="single"/>
        <w:left w:color="B3CC82" w:space="0" w:sz="8" w:themeColor="accent3" w:themeTint="BF" w:val="single"/>
        <w:bottom w:color="B3CC82" w:space="0" w:sz="8" w:themeColor="accent3" w:themeTint="BF" w:val="single"/>
        <w:right w:color="B3CC82" w:space="0" w:sz="8" w:themeColor="accent3" w:themeTint="BF" w:val="single"/>
        <w:insideH w:color="B3CC82" w:space="0" w:sz="8" w:themeColor="accent3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B3CC82" w:space="0" w:sz="8" w:themeColor="accent3" w:themeTint="BF" w:val="single"/>
          <w:left w:color="B3CC82" w:space="0" w:sz="8" w:themeColor="accent3" w:themeTint="BF" w:val="single"/>
          <w:bottom w:color="B3CC82" w:space="0" w:sz="8" w:themeColor="accent3" w:themeTint="BF" w:val="single"/>
          <w:right w:color="B3CC82" w:space="0" w:sz="8" w:themeColor="accent3" w:themeTint="BF" w:val="single"/>
          <w:insideH w:val="nil"/>
          <w:insideV w:val="nil"/>
        </w:tcBorders>
        <w:shd w:color="auto" w:fill="9BBB59" w:themeFill="accent3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B3CC82" w:space="0" w:sz="6" w:themeColor="accent3" w:themeTint="BF" w:val="double"/>
          <w:left w:color="B3CC82" w:space="0" w:sz="8" w:themeColor="accent3" w:themeTint="BF" w:val="single"/>
          <w:bottom w:color="B3CC82" w:space="0" w:sz="8" w:themeColor="accent3" w:themeTint="BF" w:val="single"/>
          <w:right w:color="B3CC82" w:space="0" w:sz="8" w:themeColor="accent3" w:themeTint="BF" w:val="single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E6EED5" w:themeFill="accent3" w:themeFillTint="3F" w:val="clear"/>
      </w:tcPr>
    </w:tblStylePr>
    <w:tblStylePr w:type="band1Horz">
      <w:tblPr/>
      <w:tcPr>
        <w:tcBorders>
          <w:insideH w:val="nil"/>
          <w:insideV w:val="nil"/>
        </w:tcBorders>
        <w:shd w:color="auto" w:fill="E6EED5" w:themeFill="accent3" w:themeFillTint="3F" w:val="clear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styleId="MediumShading1-Accent4" w:type="table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9F8AB9" w:space="0" w:sz="8" w:themeColor="accent4" w:themeTint="BF" w:val="single"/>
        <w:left w:color="9F8AB9" w:space="0" w:sz="8" w:themeColor="accent4" w:themeTint="BF" w:val="single"/>
        <w:bottom w:color="9F8AB9" w:space="0" w:sz="8" w:themeColor="accent4" w:themeTint="BF" w:val="single"/>
        <w:right w:color="9F8AB9" w:space="0" w:sz="8" w:themeColor="accent4" w:themeTint="BF" w:val="single"/>
        <w:insideH w:color="9F8AB9" w:space="0" w:sz="8" w:themeColor="accent4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9F8AB9" w:space="0" w:sz="8" w:themeColor="accent4" w:themeTint="BF" w:val="single"/>
          <w:left w:color="9F8AB9" w:space="0" w:sz="8" w:themeColor="accent4" w:themeTint="BF" w:val="single"/>
          <w:bottom w:color="9F8AB9" w:space="0" w:sz="8" w:themeColor="accent4" w:themeTint="BF" w:val="single"/>
          <w:right w:color="9F8AB9" w:space="0" w:sz="8" w:themeColor="accent4" w:themeTint="BF" w:val="single"/>
          <w:insideH w:val="nil"/>
          <w:insideV w:val="nil"/>
        </w:tcBorders>
        <w:shd w:color="auto" w:fill="8064A2" w:themeFill="accent4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9F8AB9" w:space="0" w:sz="6" w:themeColor="accent4" w:themeTint="BF" w:val="double"/>
          <w:left w:color="9F8AB9" w:space="0" w:sz="8" w:themeColor="accent4" w:themeTint="BF" w:val="single"/>
          <w:bottom w:color="9F8AB9" w:space="0" w:sz="8" w:themeColor="accent4" w:themeTint="BF" w:val="single"/>
          <w:right w:color="9F8AB9" w:space="0" w:sz="8" w:themeColor="accent4" w:themeTint="BF" w:val="single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DFD8E8" w:themeFill="accent4" w:themeFillTint="3F" w:val="clear"/>
      </w:tcPr>
    </w:tblStylePr>
    <w:tblStylePr w:type="band1Horz">
      <w:tblPr/>
      <w:tcPr>
        <w:tcBorders>
          <w:insideH w:val="nil"/>
          <w:insideV w:val="nil"/>
        </w:tcBorders>
        <w:shd w:color="auto" w:fill="DFD8E8" w:themeFill="accent4" w:themeFillTint="3F" w:val="clear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styleId="MediumShading1-Accent5" w:type="table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78C0D4" w:space="0" w:sz="8" w:themeColor="accent5" w:themeTint="BF" w:val="single"/>
        <w:left w:color="78C0D4" w:space="0" w:sz="8" w:themeColor="accent5" w:themeTint="BF" w:val="single"/>
        <w:bottom w:color="78C0D4" w:space="0" w:sz="8" w:themeColor="accent5" w:themeTint="BF" w:val="single"/>
        <w:right w:color="78C0D4" w:space="0" w:sz="8" w:themeColor="accent5" w:themeTint="BF" w:val="single"/>
        <w:insideH w:color="78C0D4" w:space="0" w:sz="8" w:themeColor="accent5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78C0D4" w:space="0" w:sz="8" w:themeColor="accent5" w:themeTint="BF" w:val="single"/>
          <w:left w:color="78C0D4" w:space="0" w:sz="8" w:themeColor="accent5" w:themeTint="BF" w:val="single"/>
          <w:bottom w:color="78C0D4" w:space="0" w:sz="8" w:themeColor="accent5" w:themeTint="BF" w:val="single"/>
          <w:right w:color="78C0D4" w:space="0" w:sz="8" w:themeColor="accent5" w:themeTint="BF" w:val="single"/>
          <w:insideH w:val="nil"/>
          <w:insideV w:val="nil"/>
        </w:tcBorders>
        <w:shd w:color="auto" w:fill="4BACC6" w:themeFill="accent5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78C0D4" w:space="0" w:sz="6" w:themeColor="accent5" w:themeTint="BF" w:val="double"/>
          <w:left w:color="78C0D4" w:space="0" w:sz="8" w:themeColor="accent5" w:themeTint="BF" w:val="single"/>
          <w:bottom w:color="78C0D4" w:space="0" w:sz="8" w:themeColor="accent5" w:themeTint="BF" w:val="single"/>
          <w:right w:color="78C0D4" w:space="0" w:sz="8" w:themeColor="accent5" w:themeTint="BF" w:val="single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D2EAF1" w:themeFill="accent5" w:themeFillTint="3F" w:val="clear"/>
      </w:tcPr>
    </w:tblStylePr>
    <w:tblStylePr w:type="band1Horz">
      <w:tblPr/>
      <w:tcPr>
        <w:tcBorders>
          <w:insideH w:val="nil"/>
          <w:insideV w:val="nil"/>
        </w:tcBorders>
        <w:shd w:color="auto" w:fill="D2EAF1" w:themeFill="accent5" w:themeFillTint="3F" w:val="clear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styleId="MediumShading1-Accent6" w:type="table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9B074" w:space="0" w:sz="8" w:themeColor="accent6" w:themeTint="BF" w:val="single"/>
        <w:left w:color="F9B074" w:space="0" w:sz="8" w:themeColor="accent6" w:themeTint="BF" w:val="single"/>
        <w:bottom w:color="F9B074" w:space="0" w:sz="8" w:themeColor="accent6" w:themeTint="BF" w:val="single"/>
        <w:right w:color="F9B074" w:space="0" w:sz="8" w:themeColor="accent6" w:themeTint="BF" w:val="single"/>
        <w:insideH w:color="F9B074" w:space="0" w:sz="8" w:themeColor="accent6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F9B074" w:space="0" w:sz="8" w:themeColor="accent6" w:themeTint="BF" w:val="single"/>
          <w:left w:color="F9B074" w:space="0" w:sz="8" w:themeColor="accent6" w:themeTint="BF" w:val="single"/>
          <w:bottom w:color="F9B074" w:space="0" w:sz="8" w:themeColor="accent6" w:themeTint="BF" w:val="single"/>
          <w:right w:color="F9B074" w:space="0" w:sz="8" w:themeColor="accent6" w:themeTint="BF" w:val="single"/>
          <w:insideH w:val="nil"/>
          <w:insideV w:val="nil"/>
        </w:tcBorders>
        <w:shd w:color="auto" w:fill="F79646" w:themeFill="accent6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F9B074" w:space="0" w:sz="6" w:themeColor="accent6" w:themeTint="BF" w:val="double"/>
          <w:left w:color="F9B074" w:space="0" w:sz="8" w:themeColor="accent6" w:themeTint="BF" w:val="single"/>
          <w:bottom w:color="F9B074" w:space="0" w:sz="8" w:themeColor="accent6" w:themeTint="BF" w:val="single"/>
          <w:right w:color="F9B074" w:space="0" w:sz="8" w:themeColor="accent6" w:themeTint="BF" w:val="single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FDE4D0" w:themeFill="accent6" w:themeFillTint="3F" w:val="clear"/>
      </w:tcPr>
    </w:tblStylePr>
    <w:tblStylePr w:type="band1Horz">
      <w:tblPr/>
      <w:tcPr>
        <w:tcBorders>
          <w:insideH w:val="nil"/>
          <w:insideV w:val="nil"/>
        </w:tcBorders>
        <w:shd w:color="auto" w:fill="FDE4D0" w:themeFill="accent6" w:themeFillTint="3F" w:val="clear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styleId="MediumShading2" w:type="table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auto" w:space="0" w:sz="18" w:val="single"/>
        <w:bottom w:color="auto" w:space="0" w:sz="18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  <w:shd w:color="auto" w:fill="000000" w:themeFill="text1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val="nil"/>
          <w:bottom w:color="auto" w:space="0" w:sz="18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background1" w:val="FFFFFF"/>
      </w:rPr>
      <w:tblPr/>
      <w:tcPr>
        <w:tcBorders>
          <w:top w:val="nil"/>
          <w:left w:val="nil"/>
          <w:bottom w:color="auto" w:space="0" w:sz="18" w:val="single"/>
          <w:right w:val="nil"/>
          <w:insideH w:val="nil"/>
          <w:insideV w:val="nil"/>
        </w:tcBorders>
        <w:shd w:color="auto" w:fill="000000" w:themeFill="text1" w:val="clear"/>
      </w:tcPr>
    </w:tblStylePr>
    <w:tblStylePr w:type="lastCol">
      <w:rPr>
        <w:b/>
        <w:bCs/>
        <w:color w:themeColor="background1" w:val="FFFFFF"/>
      </w:rPr>
      <w:tblPr/>
      <w:tcPr>
        <w:tcBorders>
          <w:left w:val="nil"/>
          <w:right w:val="nil"/>
          <w:insideH w:val="nil"/>
          <w:insideV w:val="nil"/>
        </w:tcBorders>
        <w:shd w:color="auto" w:fill="000000" w:themeFill="text1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8D8D8" w:themeFill="background1" w:themeFillShade="D8" w:val="clear"/>
      </w:tcPr>
    </w:tblStylePr>
    <w:tblStylePr w:type="band1Horz">
      <w:tblPr/>
      <w:tcPr>
        <w:shd w:color="auto" w:fill="D8D8D8" w:themeFill="background1" w:themeFillShade="D8" w:val="clear"/>
      </w:tcPr>
    </w:tblStylePr>
    <w:tblStylePr w:type="neCell"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  <w:tblStylePr w:type="nwCell">
      <w:rPr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</w:style>
  <w:style w:styleId="MediumShading2-Accent1" w:type="table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auto" w:space="0" w:sz="18" w:val="single"/>
        <w:bottom w:color="auto" w:space="0" w:sz="18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  <w:shd w:color="auto" w:fill="4F81BD" w:themeFill="accent1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val="nil"/>
          <w:bottom w:color="auto" w:space="0" w:sz="18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background1" w:val="FFFFFF"/>
      </w:rPr>
      <w:tblPr/>
      <w:tcPr>
        <w:tcBorders>
          <w:top w:val="nil"/>
          <w:left w:val="nil"/>
          <w:bottom w:color="auto" w:space="0" w:sz="18" w:val="single"/>
          <w:right w:val="nil"/>
          <w:insideH w:val="nil"/>
          <w:insideV w:val="nil"/>
        </w:tcBorders>
        <w:shd w:color="auto" w:fill="4F81BD" w:themeFill="accent1" w:val="clear"/>
      </w:tcPr>
    </w:tblStylePr>
    <w:tblStylePr w:type="lastCol">
      <w:rPr>
        <w:b/>
        <w:bCs/>
        <w:color w:themeColor="background1" w:val="FFFFFF"/>
      </w:rPr>
      <w:tblPr/>
      <w:tcPr>
        <w:tcBorders>
          <w:left w:val="nil"/>
          <w:right w:val="nil"/>
          <w:insideH w:val="nil"/>
          <w:insideV w:val="nil"/>
        </w:tcBorders>
        <w:shd w:color="auto" w:fill="4F81BD" w:themeFill="accent1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8D8D8" w:themeFill="background1" w:themeFillShade="D8" w:val="clear"/>
      </w:tcPr>
    </w:tblStylePr>
    <w:tblStylePr w:type="band1Horz">
      <w:tblPr/>
      <w:tcPr>
        <w:shd w:color="auto" w:fill="D8D8D8" w:themeFill="background1" w:themeFillShade="D8" w:val="clear"/>
      </w:tcPr>
    </w:tblStylePr>
    <w:tblStylePr w:type="neCell"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  <w:tblStylePr w:type="nwCell">
      <w:rPr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</w:style>
  <w:style w:styleId="MediumShading2-Accent2" w:type="table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auto" w:space="0" w:sz="18" w:val="single"/>
        <w:bottom w:color="auto" w:space="0" w:sz="18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  <w:shd w:color="auto" w:fill="C0504D" w:themeFill="accent2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val="nil"/>
          <w:bottom w:color="auto" w:space="0" w:sz="18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background1" w:val="FFFFFF"/>
      </w:rPr>
      <w:tblPr/>
      <w:tcPr>
        <w:tcBorders>
          <w:top w:val="nil"/>
          <w:left w:val="nil"/>
          <w:bottom w:color="auto" w:space="0" w:sz="18" w:val="single"/>
          <w:right w:val="nil"/>
          <w:insideH w:val="nil"/>
          <w:insideV w:val="nil"/>
        </w:tcBorders>
        <w:shd w:color="auto" w:fill="C0504D" w:themeFill="accent2" w:val="clear"/>
      </w:tcPr>
    </w:tblStylePr>
    <w:tblStylePr w:type="lastCol">
      <w:rPr>
        <w:b/>
        <w:bCs/>
        <w:color w:themeColor="background1" w:val="FFFFFF"/>
      </w:rPr>
      <w:tblPr/>
      <w:tcPr>
        <w:tcBorders>
          <w:left w:val="nil"/>
          <w:right w:val="nil"/>
          <w:insideH w:val="nil"/>
          <w:insideV w:val="nil"/>
        </w:tcBorders>
        <w:shd w:color="auto" w:fill="C0504D" w:themeFill="accent2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8D8D8" w:themeFill="background1" w:themeFillShade="D8" w:val="clear"/>
      </w:tcPr>
    </w:tblStylePr>
    <w:tblStylePr w:type="band1Horz">
      <w:tblPr/>
      <w:tcPr>
        <w:shd w:color="auto" w:fill="D8D8D8" w:themeFill="background1" w:themeFillShade="D8" w:val="clear"/>
      </w:tcPr>
    </w:tblStylePr>
    <w:tblStylePr w:type="neCell"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  <w:tblStylePr w:type="nwCell">
      <w:rPr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</w:style>
  <w:style w:styleId="MediumShading2-Accent3" w:type="table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auto" w:space="0" w:sz="18" w:val="single"/>
        <w:bottom w:color="auto" w:space="0" w:sz="18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  <w:shd w:color="auto" w:fill="9BBB59" w:themeFill="accent3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val="nil"/>
          <w:bottom w:color="auto" w:space="0" w:sz="18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background1" w:val="FFFFFF"/>
      </w:rPr>
      <w:tblPr/>
      <w:tcPr>
        <w:tcBorders>
          <w:top w:val="nil"/>
          <w:left w:val="nil"/>
          <w:bottom w:color="auto" w:space="0" w:sz="18" w:val="single"/>
          <w:right w:val="nil"/>
          <w:insideH w:val="nil"/>
          <w:insideV w:val="nil"/>
        </w:tcBorders>
        <w:shd w:color="auto" w:fill="9BBB59" w:themeFill="accent3" w:val="clear"/>
      </w:tcPr>
    </w:tblStylePr>
    <w:tblStylePr w:type="lastCol">
      <w:rPr>
        <w:b/>
        <w:bCs/>
        <w:color w:themeColor="background1" w:val="FFFFFF"/>
      </w:rPr>
      <w:tblPr/>
      <w:tcPr>
        <w:tcBorders>
          <w:left w:val="nil"/>
          <w:right w:val="nil"/>
          <w:insideH w:val="nil"/>
          <w:insideV w:val="nil"/>
        </w:tcBorders>
        <w:shd w:color="auto" w:fill="9BBB59" w:themeFill="accent3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8D8D8" w:themeFill="background1" w:themeFillShade="D8" w:val="clear"/>
      </w:tcPr>
    </w:tblStylePr>
    <w:tblStylePr w:type="band1Horz">
      <w:tblPr/>
      <w:tcPr>
        <w:shd w:color="auto" w:fill="D8D8D8" w:themeFill="background1" w:themeFillShade="D8" w:val="clear"/>
      </w:tcPr>
    </w:tblStylePr>
    <w:tblStylePr w:type="neCell"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  <w:tblStylePr w:type="nwCell">
      <w:rPr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</w:style>
  <w:style w:styleId="MediumShading2-Accent4" w:type="table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auto" w:space="0" w:sz="18" w:val="single"/>
        <w:bottom w:color="auto" w:space="0" w:sz="18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  <w:shd w:color="auto" w:fill="8064A2" w:themeFill="accent4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val="nil"/>
          <w:bottom w:color="auto" w:space="0" w:sz="18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background1" w:val="FFFFFF"/>
      </w:rPr>
      <w:tblPr/>
      <w:tcPr>
        <w:tcBorders>
          <w:top w:val="nil"/>
          <w:left w:val="nil"/>
          <w:bottom w:color="auto" w:space="0" w:sz="18" w:val="single"/>
          <w:right w:val="nil"/>
          <w:insideH w:val="nil"/>
          <w:insideV w:val="nil"/>
        </w:tcBorders>
        <w:shd w:color="auto" w:fill="8064A2" w:themeFill="accent4" w:val="clear"/>
      </w:tcPr>
    </w:tblStylePr>
    <w:tblStylePr w:type="lastCol">
      <w:rPr>
        <w:b/>
        <w:bCs/>
        <w:color w:themeColor="background1" w:val="FFFFFF"/>
      </w:rPr>
      <w:tblPr/>
      <w:tcPr>
        <w:tcBorders>
          <w:left w:val="nil"/>
          <w:right w:val="nil"/>
          <w:insideH w:val="nil"/>
          <w:insideV w:val="nil"/>
        </w:tcBorders>
        <w:shd w:color="auto" w:fill="8064A2" w:themeFill="accent4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8D8D8" w:themeFill="background1" w:themeFillShade="D8" w:val="clear"/>
      </w:tcPr>
    </w:tblStylePr>
    <w:tblStylePr w:type="band1Horz">
      <w:tblPr/>
      <w:tcPr>
        <w:shd w:color="auto" w:fill="D8D8D8" w:themeFill="background1" w:themeFillShade="D8" w:val="clear"/>
      </w:tcPr>
    </w:tblStylePr>
    <w:tblStylePr w:type="neCell"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  <w:tblStylePr w:type="nwCell">
      <w:rPr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</w:style>
  <w:style w:styleId="MediumShading2-Accent5" w:type="table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auto" w:space="0" w:sz="18" w:val="single"/>
        <w:bottom w:color="auto" w:space="0" w:sz="18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  <w:shd w:color="auto" w:fill="4BACC6" w:themeFill="accent5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val="nil"/>
          <w:bottom w:color="auto" w:space="0" w:sz="18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background1" w:val="FFFFFF"/>
      </w:rPr>
      <w:tblPr/>
      <w:tcPr>
        <w:tcBorders>
          <w:top w:val="nil"/>
          <w:left w:val="nil"/>
          <w:bottom w:color="auto" w:space="0" w:sz="18" w:val="single"/>
          <w:right w:val="nil"/>
          <w:insideH w:val="nil"/>
          <w:insideV w:val="nil"/>
        </w:tcBorders>
        <w:shd w:color="auto" w:fill="4BACC6" w:themeFill="accent5" w:val="clear"/>
      </w:tcPr>
    </w:tblStylePr>
    <w:tblStylePr w:type="lastCol">
      <w:rPr>
        <w:b/>
        <w:bCs/>
        <w:color w:themeColor="background1" w:val="FFFFFF"/>
      </w:rPr>
      <w:tblPr/>
      <w:tcPr>
        <w:tcBorders>
          <w:left w:val="nil"/>
          <w:right w:val="nil"/>
          <w:insideH w:val="nil"/>
          <w:insideV w:val="nil"/>
        </w:tcBorders>
        <w:shd w:color="auto" w:fill="4BACC6" w:themeFill="accent5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8D8D8" w:themeFill="background1" w:themeFillShade="D8" w:val="clear"/>
      </w:tcPr>
    </w:tblStylePr>
    <w:tblStylePr w:type="band1Horz">
      <w:tblPr/>
      <w:tcPr>
        <w:shd w:color="auto" w:fill="D8D8D8" w:themeFill="background1" w:themeFillShade="D8" w:val="clear"/>
      </w:tcPr>
    </w:tblStylePr>
    <w:tblStylePr w:type="neCell"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  <w:tblStylePr w:type="nwCell">
      <w:rPr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</w:style>
  <w:style w:styleId="MediumShading2-Accent6" w:type="table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auto" w:space="0" w:sz="18" w:val="single"/>
        <w:bottom w:color="auto" w:space="0" w:sz="18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  <w:shd w:color="auto" w:fill="F79646" w:themeFill="accent6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val="nil"/>
          <w:bottom w:color="auto" w:space="0" w:sz="18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background1" w:val="FFFFFF"/>
      </w:rPr>
      <w:tblPr/>
      <w:tcPr>
        <w:tcBorders>
          <w:top w:val="nil"/>
          <w:left w:val="nil"/>
          <w:bottom w:color="auto" w:space="0" w:sz="18" w:val="single"/>
          <w:right w:val="nil"/>
          <w:insideH w:val="nil"/>
          <w:insideV w:val="nil"/>
        </w:tcBorders>
        <w:shd w:color="auto" w:fill="F79646" w:themeFill="accent6" w:val="clear"/>
      </w:tcPr>
    </w:tblStylePr>
    <w:tblStylePr w:type="lastCol">
      <w:rPr>
        <w:b/>
        <w:bCs/>
        <w:color w:themeColor="background1" w:val="FFFFFF"/>
      </w:rPr>
      <w:tblPr/>
      <w:tcPr>
        <w:tcBorders>
          <w:left w:val="nil"/>
          <w:right w:val="nil"/>
          <w:insideH w:val="nil"/>
          <w:insideV w:val="nil"/>
        </w:tcBorders>
        <w:shd w:color="auto" w:fill="F79646" w:themeFill="accent6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8D8D8" w:themeFill="background1" w:themeFillShade="D8" w:val="clear"/>
      </w:tcPr>
    </w:tblStylePr>
    <w:tblStylePr w:type="band1Horz">
      <w:tblPr/>
      <w:tcPr>
        <w:shd w:color="auto" w:fill="D8D8D8" w:themeFill="background1" w:themeFillShade="D8" w:val="clear"/>
      </w:tcPr>
    </w:tblStylePr>
    <w:tblStylePr w:type="neCell"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  <w:tblStylePr w:type="nwCell">
      <w:rPr>
        <w:color w:themeColor="background1" w:val="FFFFFF"/>
      </w:rPr>
      <w:tblPr/>
      <w:tcPr>
        <w:tcBorders>
          <w:top w:color="auto" w:space="0" w:sz="18" w:val="single"/>
          <w:left w:val="nil"/>
          <w:bottom w:color="auto" w:space="0" w:sz="18" w:val="single"/>
          <w:right w:val="nil"/>
          <w:insideH w:val="nil"/>
          <w:insideV w:val="nil"/>
        </w:tcBorders>
      </w:tcPr>
    </w:tblStylePr>
  </w:style>
  <w:style w:styleId="MediumList1" w:type="table">
    <w:name w:val="Medium List 1"/>
    <w:basedOn w:val="TableNormal"/>
    <w:uiPriority w:val="65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000000" w:space="0" w:sz="8" w:themeColor="text1" w:val="single"/>
        <w:bottom w:color="000000" w:space="0" w:sz="8" w:themeColor="tex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val="nil"/>
          <w:bottom w:color="000000" w:space="0" w:sz="8" w:themeColor="text1" w:val="single"/>
        </w:tcBorders>
      </w:tcPr>
    </w:tblStylePr>
    <w:tblStylePr w:type="lastRow">
      <w:rPr>
        <w:b/>
        <w:bCs/>
        <w:color w:themeColor="text2" w:val="1F497D"/>
      </w:rPr>
      <w:tblPr/>
      <w:tcPr>
        <w:tcBorders>
          <w:top w:color="000000" w:space="0" w:sz="8" w:themeColor="text1" w:val="single"/>
          <w:bottom w:color="000000" w:space="0" w:sz="8" w:themeColor="text1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color="000000" w:space="0" w:sz="8" w:themeColor="text1" w:val="single"/>
          <w:bottom w:color="000000" w:space="0" w:sz="8" w:themeColor="text1" w:val="single"/>
        </w:tcBorders>
      </w:tcPr>
    </w:tblStylePr>
    <w:tblStylePr w:type="band1Vert">
      <w:tblPr/>
      <w:tcPr>
        <w:shd w:color="auto" w:fill="C0C0C0" w:themeFill="text1" w:themeFillTint="3F" w:val="clear"/>
      </w:tcPr>
    </w:tblStylePr>
    <w:tblStylePr w:type="band1Horz">
      <w:tblPr/>
      <w:tcPr>
        <w:shd w:color="auto" w:fill="C0C0C0" w:themeFill="text1" w:themeFillTint="3F" w:val="clear"/>
      </w:tcPr>
    </w:tblStylePr>
  </w:style>
  <w:style w:styleId="MediumList1-Accent1" w:type="table">
    <w:name w:val="Medium List 1 Accent 1"/>
    <w:basedOn w:val="TableNormal"/>
    <w:uiPriority w:val="65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4F81BD" w:space="0" w:sz="8" w:themeColor="accent1" w:val="single"/>
        <w:bottom w:color="4F81BD" w:space="0" w:sz="8" w:themeColor="accen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val="nil"/>
          <w:bottom w:color="4F81BD" w:space="0" w:sz="8" w:themeColor="accent1" w:val="single"/>
        </w:tcBorders>
      </w:tcPr>
    </w:tblStylePr>
    <w:tblStylePr w:type="lastRow">
      <w:rPr>
        <w:b/>
        <w:bCs/>
        <w:color w:themeColor="text2" w:val="1F497D"/>
      </w:rPr>
      <w:tblPr/>
      <w:tcPr>
        <w:tcBorders>
          <w:top w:color="4F81BD" w:space="0" w:sz="8" w:themeColor="accent1" w:val="single"/>
          <w:bottom w:color="4F81BD" w:space="0" w:sz="8" w:themeColor="accent1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color="4F81BD" w:space="0" w:sz="8" w:themeColor="accent1" w:val="single"/>
          <w:bottom w:color="4F81BD" w:space="0" w:sz="8" w:themeColor="accent1" w:val="single"/>
        </w:tcBorders>
      </w:tcPr>
    </w:tblStylePr>
    <w:tblStylePr w:type="band1Vert">
      <w:tblPr/>
      <w:tcPr>
        <w:shd w:color="auto" w:fill="D3DFEE" w:themeFill="accent1" w:themeFillTint="3F" w:val="clear"/>
      </w:tcPr>
    </w:tblStylePr>
    <w:tblStylePr w:type="band1Horz">
      <w:tblPr/>
      <w:tcPr>
        <w:shd w:color="auto" w:fill="D3DFEE" w:themeFill="accent1" w:themeFillTint="3F" w:val="clear"/>
      </w:tcPr>
    </w:tblStylePr>
  </w:style>
  <w:style w:styleId="MediumList1-Accent2" w:type="table">
    <w:name w:val="Medium List 1 Accent 2"/>
    <w:basedOn w:val="TableNormal"/>
    <w:uiPriority w:val="65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C0504D" w:space="0" w:sz="8" w:themeColor="accent2" w:val="single"/>
        <w:bottom w:color="C0504D" w:space="0" w:sz="8" w:themeColor="accent2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val="nil"/>
          <w:bottom w:color="C0504D" w:space="0" w:sz="8" w:themeColor="accent2" w:val="single"/>
        </w:tcBorders>
      </w:tcPr>
    </w:tblStylePr>
    <w:tblStylePr w:type="lastRow">
      <w:rPr>
        <w:b/>
        <w:bCs/>
        <w:color w:themeColor="text2" w:val="1F497D"/>
      </w:rPr>
      <w:tblPr/>
      <w:tcPr>
        <w:tcBorders>
          <w:top w:color="C0504D" w:space="0" w:sz="8" w:themeColor="accent2" w:val="single"/>
          <w:bottom w:color="C0504D" w:space="0" w:sz="8" w:themeColor="accent2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color="C0504D" w:space="0" w:sz="8" w:themeColor="accent2" w:val="single"/>
          <w:bottom w:color="C0504D" w:space="0" w:sz="8" w:themeColor="accent2" w:val="single"/>
        </w:tcBorders>
      </w:tcPr>
    </w:tblStylePr>
    <w:tblStylePr w:type="band1Vert">
      <w:tblPr/>
      <w:tcPr>
        <w:shd w:color="auto" w:fill="EFD3D2" w:themeFill="accent2" w:themeFillTint="3F" w:val="clear"/>
      </w:tcPr>
    </w:tblStylePr>
    <w:tblStylePr w:type="band1Horz">
      <w:tblPr/>
      <w:tcPr>
        <w:shd w:color="auto" w:fill="EFD3D2" w:themeFill="accent2" w:themeFillTint="3F" w:val="clear"/>
      </w:tcPr>
    </w:tblStylePr>
  </w:style>
  <w:style w:styleId="MediumList1-Accent3" w:type="table">
    <w:name w:val="Medium List 1 Accent 3"/>
    <w:basedOn w:val="TableNormal"/>
    <w:uiPriority w:val="65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9BBB59" w:space="0" w:sz="8" w:themeColor="accent3" w:val="single"/>
        <w:bottom w:color="9BBB59" w:space="0" w:sz="8" w:themeColor="accent3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val="nil"/>
          <w:bottom w:color="9BBB59" w:space="0" w:sz="8" w:themeColor="accent3" w:val="single"/>
        </w:tcBorders>
      </w:tcPr>
    </w:tblStylePr>
    <w:tblStylePr w:type="lastRow">
      <w:rPr>
        <w:b/>
        <w:bCs/>
        <w:color w:themeColor="text2" w:val="1F497D"/>
      </w:rPr>
      <w:tblPr/>
      <w:tcPr>
        <w:tcBorders>
          <w:top w:color="9BBB59" w:space="0" w:sz="8" w:themeColor="accent3" w:val="single"/>
          <w:bottom w:color="9BBB59" w:space="0" w:sz="8" w:themeColor="accent3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color="9BBB59" w:space="0" w:sz="8" w:themeColor="accent3" w:val="single"/>
          <w:bottom w:color="9BBB59" w:space="0" w:sz="8" w:themeColor="accent3" w:val="single"/>
        </w:tcBorders>
      </w:tcPr>
    </w:tblStylePr>
    <w:tblStylePr w:type="band1Vert">
      <w:tblPr/>
      <w:tcPr>
        <w:shd w:color="auto" w:fill="E6EED5" w:themeFill="accent3" w:themeFillTint="3F" w:val="clear"/>
      </w:tcPr>
    </w:tblStylePr>
    <w:tblStylePr w:type="band1Horz">
      <w:tblPr/>
      <w:tcPr>
        <w:shd w:color="auto" w:fill="E6EED5" w:themeFill="accent3" w:themeFillTint="3F" w:val="clear"/>
      </w:tcPr>
    </w:tblStylePr>
  </w:style>
  <w:style w:styleId="MediumList1-Accent4" w:type="table">
    <w:name w:val="Medium List 1 Accent 4"/>
    <w:basedOn w:val="TableNormal"/>
    <w:uiPriority w:val="65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8064A2" w:space="0" w:sz="8" w:themeColor="accent4" w:val="single"/>
        <w:bottom w:color="8064A2" w:space="0" w:sz="8" w:themeColor="accent4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val="nil"/>
          <w:bottom w:color="8064A2" w:space="0" w:sz="8" w:themeColor="accent4" w:val="single"/>
        </w:tcBorders>
      </w:tcPr>
    </w:tblStylePr>
    <w:tblStylePr w:type="lastRow">
      <w:rPr>
        <w:b/>
        <w:bCs/>
        <w:color w:themeColor="text2" w:val="1F497D"/>
      </w:rPr>
      <w:tblPr/>
      <w:tcPr>
        <w:tcBorders>
          <w:top w:color="8064A2" w:space="0" w:sz="8" w:themeColor="accent4" w:val="single"/>
          <w:bottom w:color="8064A2" w:space="0" w:sz="8" w:themeColor="accent4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color="8064A2" w:space="0" w:sz="8" w:themeColor="accent4" w:val="single"/>
          <w:bottom w:color="8064A2" w:space="0" w:sz="8" w:themeColor="accent4" w:val="single"/>
        </w:tcBorders>
      </w:tcPr>
    </w:tblStylePr>
    <w:tblStylePr w:type="band1Vert">
      <w:tblPr/>
      <w:tcPr>
        <w:shd w:color="auto" w:fill="DFD8E8" w:themeFill="accent4" w:themeFillTint="3F" w:val="clear"/>
      </w:tcPr>
    </w:tblStylePr>
    <w:tblStylePr w:type="band1Horz">
      <w:tblPr/>
      <w:tcPr>
        <w:shd w:color="auto" w:fill="DFD8E8" w:themeFill="accent4" w:themeFillTint="3F" w:val="clear"/>
      </w:tcPr>
    </w:tblStylePr>
  </w:style>
  <w:style w:styleId="MediumList1-Accent5" w:type="table">
    <w:name w:val="Medium List 1 Accent 5"/>
    <w:basedOn w:val="TableNormal"/>
    <w:uiPriority w:val="65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4BACC6" w:space="0" w:sz="8" w:themeColor="accent5" w:val="single"/>
        <w:bottom w:color="4BACC6" w:space="0" w:sz="8" w:themeColor="accent5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val="nil"/>
          <w:bottom w:color="4BACC6" w:space="0" w:sz="8" w:themeColor="accent5" w:val="single"/>
        </w:tcBorders>
      </w:tcPr>
    </w:tblStylePr>
    <w:tblStylePr w:type="lastRow">
      <w:rPr>
        <w:b/>
        <w:bCs/>
        <w:color w:themeColor="text2" w:val="1F497D"/>
      </w:rPr>
      <w:tblPr/>
      <w:tcPr>
        <w:tcBorders>
          <w:top w:color="4BACC6" w:space="0" w:sz="8" w:themeColor="accent5" w:val="single"/>
          <w:bottom w:color="4BACC6" w:space="0" w:sz="8" w:themeColor="accent5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color="4BACC6" w:space="0" w:sz="8" w:themeColor="accent5" w:val="single"/>
          <w:bottom w:color="4BACC6" w:space="0" w:sz="8" w:themeColor="accent5" w:val="single"/>
        </w:tcBorders>
      </w:tcPr>
    </w:tblStylePr>
    <w:tblStylePr w:type="band1Vert">
      <w:tblPr/>
      <w:tcPr>
        <w:shd w:color="auto" w:fill="D2EAF1" w:themeFill="accent5" w:themeFillTint="3F" w:val="clear"/>
      </w:tcPr>
    </w:tblStylePr>
    <w:tblStylePr w:type="band1Horz">
      <w:tblPr/>
      <w:tcPr>
        <w:shd w:color="auto" w:fill="D2EAF1" w:themeFill="accent5" w:themeFillTint="3F" w:val="clear"/>
      </w:tcPr>
    </w:tblStylePr>
  </w:style>
  <w:style w:styleId="MediumList1-Accent6" w:type="table">
    <w:name w:val="Medium List 1 Accent 6"/>
    <w:basedOn w:val="TableNormal"/>
    <w:uiPriority w:val="65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F79646" w:space="0" w:sz="8" w:themeColor="accent6" w:val="single"/>
        <w:bottom w:color="F79646" w:space="0" w:sz="8" w:themeColor="accent6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rFonts w:asciiTheme="majorHAnsi" w:cstheme="majorBidi" w:eastAsiaTheme="majorEastAsia" w:hAnsiTheme="majorHAnsi"/>
      </w:rPr>
      <w:tblPr/>
      <w:tcPr>
        <w:tcBorders>
          <w:top w:val="nil"/>
          <w:bottom w:color="F79646" w:space="0" w:sz="8" w:themeColor="accent6" w:val="single"/>
        </w:tcBorders>
      </w:tcPr>
    </w:tblStylePr>
    <w:tblStylePr w:type="lastRow">
      <w:rPr>
        <w:b/>
        <w:bCs/>
        <w:color w:themeColor="text2" w:val="1F497D"/>
      </w:rPr>
      <w:tblPr/>
      <w:tcPr>
        <w:tcBorders>
          <w:top w:color="F79646" w:space="0" w:sz="8" w:themeColor="accent6" w:val="single"/>
          <w:bottom w:color="F79646" w:space="0" w:sz="8" w:themeColor="accent6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color="F79646" w:space="0" w:sz="8" w:themeColor="accent6" w:val="single"/>
          <w:bottom w:color="F79646" w:space="0" w:sz="8" w:themeColor="accent6" w:val="single"/>
        </w:tcBorders>
      </w:tcPr>
    </w:tblStylePr>
    <w:tblStylePr w:type="band1Vert">
      <w:tblPr/>
      <w:tcPr>
        <w:shd w:color="auto" w:fill="FDE4D0" w:themeFill="accent6" w:themeFillTint="3F" w:val="clear"/>
      </w:tcPr>
    </w:tblStylePr>
    <w:tblStylePr w:type="band1Horz">
      <w:tblPr/>
      <w:tcPr>
        <w:shd w:color="auto" w:fill="FDE4D0" w:themeFill="accent6" w:themeFillTint="3F" w:val="clear"/>
      </w:tcPr>
    </w:tblStylePr>
  </w:style>
  <w:style w:styleId="MediumList2" w:type="table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000000" w:space="0" w:sz="8" w:themeColor="text1" w:val="single"/>
        <w:left w:color="000000" w:space="0" w:sz="8" w:themeColor="text1" w:val="single"/>
        <w:bottom w:color="000000" w:space="0" w:sz="8" w:themeColor="text1" w:val="single"/>
        <w:right w:color="000000" w:space="0" w:sz="8" w:themeColor="tex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color="000000" w:space="0" w:sz="24" w:themeColor="text1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tblPr/>
      <w:tcPr>
        <w:tcBorders>
          <w:top w:color="000000" w:space="0" w:sz="8" w:themeColor="text1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tblPr/>
      <w:tcPr>
        <w:tcBorders>
          <w:top w:val="nil"/>
          <w:left w:val="nil"/>
          <w:bottom w:val="nil"/>
          <w:right w:color="000000" w:space="0" w:sz="8" w:themeColor="text1" w:val="single"/>
          <w:insideH w:val="nil"/>
          <w:insideV w:val="nil"/>
        </w:tcBorders>
        <w:shd w:color="auto" w:fill="FFFFFF" w:themeFill="background1" w:val="clear"/>
      </w:tcPr>
    </w:tblStylePr>
    <w:tblStylePr w:type="lastCol">
      <w:tblPr/>
      <w:tcPr>
        <w:tcBorders>
          <w:top w:val="nil"/>
          <w:left w:color="000000" w:space="0" w:sz="8" w:themeColor="text1" w:val="single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C0C0C0" w:themeFill="text1" w:themeFillTint="3F" w:val="clear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color="auto" w:fill="C0C0C0" w:themeFill="text1" w:themeFillTint="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val="nil"/>
        </w:tcBorders>
      </w:tcPr>
    </w:tblStylePr>
  </w:style>
  <w:style w:styleId="MediumList2-Accent1" w:type="table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4F81BD" w:space="0" w:sz="8" w:themeColor="accent1" w:val="single"/>
        <w:left w:color="4F81BD" w:space="0" w:sz="8" w:themeColor="accent1" w:val="single"/>
        <w:bottom w:color="4F81BD" w:space="0" w:sz="8" w:themeColor="accent1" w:val="single"/>
        <w:right w:color="4F81BD" w:space="0" w:sz="8" w:themeColor="accent1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color="4F81BD" w:space="0" w:sz="24" w:themeColor="accent1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tblPr/>
      <w:tcPr>
        <w:tcBorders>
          <w:top w:color="4F81BD" w:space="0" w:sz="8" w:themeColor="accent1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tblPr/>
      <w:tcPr>
        <w:tcBorders>
          <w:top w:val="nil"/>
          <w:left w:val="nil"/>
          <w:bottom w:val="nil"/>
          <w:right w:color="4F81BD" w:space="0" w:sz="8" w:themeColor="accent1" w:val="single"/>
          <w:insideH w:val="nil"/>
          <w:insideV w:val="nil"/>
        </w:tcBorders>
        <w:shd w:color="auto" w:fill="FFFFFF" w:themeFill="background1" w:val="clear"/>
      </w:tcPr>
    </w:tblStylePr>
    <w:tblStylePr w:type="lastCol">
      <w:tblPr/>
      <w:tcPr>
        <w:tcBorders>
          <w:top w:val="nil"/>
          <w:left w:color="4F81BD" w:space="0" w:sz="8" w:themeColor="accent1" w:val="single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3DFEE" w:themeFill="accent1" w:themeFillTint="3F" w:val="clear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color="auto" w:fill="D3DFEE" w:themeFill="accent1" w:themeFillTint="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val="nil"/>
        </w:tcBorders>
      </w:tcPr>
    </w:tblStylePr>
  </w:style>
  <w:style w:styleId="MediumList2-Accent2" w:type="table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C0504D" w:space="0" w:sz="8" w:themeColor="accent2" w:val="single"/>
        <w:left w:color="C0504D" w:space="0" w:sz="8" w:themeColor="accent2" w:val="single"/>
        <w:bottom w:color="C0504D" w:space="0" w:sz="8" w:themeColor="accent2" w:val="single"/>
        <w:right w:color="C0504D" w:space="0" w:sz="8" w:themeColor="accent2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color="C0504D" w:space="0" w:sz="24" w:themeColor="accent2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tblPr/>
      <w:tcPr>
        <w:tcBorders>
          <w:top w:color="C0504D" w:space="0" w:sz="8" w:themeColor="accent2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tblPr/>
      <w:tcPr>
        <w:tcBorders>
          <w:top w:val="nil"/>
          <w:left w:val="nil"/>
          <w:bottom w:val="nil"/>
          <w:right w:color="C0504D" w:space="0" w:sz="8" w:themeColor="accent2" w:val="single"/>
          <w:insideH w:val="nil"/>
          <w:insideV w:val="nil"/>
        </w:tcBorders>
        <w:shd w:color="auto" w:fill="FFFFFF" w:themeFill="background1" w:val="clear"/>
      </w:tcPr>
    </w:tblStylePr>
    <w:tblStylePr w:type="lastCol">
      <w:tblPr/>
      <w:tcPr>
        <w:tcBorders>
          <w:top w:val="nil"/>
          <w:left w:color="C0504D" w:space="0" w:sz="8" w:themeColor="accent2" w:val="single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EFD3D2" w:themeFill="accent2" w:themeFillTint="3F" w:val="clear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color="auto" w:fill="EFD3D2" w:themeFill="accent2" w:themeFillTint="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val="nil"/>
        </w:tcBorders>
      </w:tcPr>
    </w:tblStylePr>
  </w:style>
  <w:style w:styleId="MediumList2-Accent3" w:type="table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9BBB59" w:space="0" w:sz="8" w:themeColor="accent3" w:val="single"/>
        <w:left w:color="9BBB59" w:space="0" w:sz="8" w:themeColor="accent3" w:val="single"/>
        <w:bottom w:color="9BBB59" w:space="0" w:sz="8" w:themeColor="accent3" w:val="single"/>
        <w:right w:color="9BBB59" w:space="0" w:sz="8" w:themeColor="accent3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color="9BBB59" w:space="0" w:sz="24" w:themeColor="accent3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tblPr/>
      <w:tcPr>
        <w:tcBorders>
          <w:top w:color="9BBB59" w:space="0" w:sz="8" w:themeColor="accent3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tblPr/>
      <w:tcPr>
        <w:tcBorders>
          <w:top w:val="nil"/>
          <w:left w:val="nil"/>
          <w:bottom w:val="nil"/>
          <w:right w:color="9BBB59" w:space="0" w:sz="8" w:themeColor="accent3" w:val="single"/>
          <w:insideH w:val="nil"/>
          <w:insideV w:val="nil"/>
        </w:tcBorders>
        <w:shd w:color="auto" w:fill="FFFFFF" w:themeFill="background1" w:val="clear"/>
      </w:tcPr>
    </w:tblStylePr>
    <w:tblStylePr w:type="lastCol">
      <w:tblPr/>
      <w:tcPr>
        <w:tcBorders>
          <w:top w:val="nil"/>
          <w:left w:color="9BBB59" w:space="0" w:sz="8" w:themeColor="accent3" w:val="single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E6EED5" w:themeFill="accent3" w:themeFillTint="3F" w:val="clear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color="auto" w:fill="E6EED5" w:themeFill="accent3" w:themeFillTint="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val="nil"/>
        </w:tcBorders>
      </w:tcPr>
    </w:tblStylePr>
  </w:style>
  <w:style w:styleId="MediumList2-Accent4" w:type="table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8064A2" w:space="0" w:sz="8" w:themeColor="accent4" w:val="single"/>
        <w:left w:color="8064A2" w:space="0" w:sz="8" w:themeColor="accent4" w:val="single"/>
        <w:bottom w:color="8064A2" w:space="0" w:sz="8" w:themeColor="accent4" w:val="single"/>
        <w:right w:color="8064A2" w:space="0" w:sz="8" w:themeColor="accent4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color="8064A2" w:space="0" w:sz="24" w:themeColor="accent4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tblPr/>
      <w:tcPr>
        <w:tcBorders>
          <w:top w:color="8064A2" w:space="0" w:sz="8" w:themeColor="accent4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tblPr/>
      <w:tcPr>
        <w:tcBorders>
          <w:top w:val="nil"/>
          <w:left w:val="nil"/>
          <w:bottom w:val="nil"/>
          <w:right w:color="8064A2" w:space="0" w:sz="8" w:themeColor="accent4" w:val="single"/>
          <w:insideH w:val="nil"/>
          <w:insideV w:val="nil"/>
        </w:tcBorders>
        <w:shd w:color="auto" w:fill="FFFFFF" w:themeFill="background1" w:val="clear"/>
      </w:tcPr>
    </w:tblStylePr>
    <w:tblStylePr w:type="lastCol">
      <w:tblPr/>
      <w:tcPr>
        <w:tcBorders>
          <w:top w:val="nil"/>
          <w:left w:color="8064A2" w:space="0" w:sz="8" w:themeColor="accent4" w:val="single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FD8E8" w:themeFill="accent4" w:themeFillTint="3F" w:val="clear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color="auto" w:fill="DFD8E8" w:themeFill="accent4" w:themeFillTint="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val="nil"/>
        </w:tcBorders>
      </w:tcPr>
    </w:tblStylePr>
  </w:style>
  <w:style w:styleId="MediumList2-Accent5" w:type="table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4BACC6" w:space="0" w:sz="8" w:themeColor="accent5" w:val="single"/>
        <w:left w:color="4BACC6" w:space="0" w:sz="8" w:themeColor="accent5" w:val="single"/>
        <w:bottom w:color="4BACC6" w:space="0" w:sz="8" w:themeColor="accent5" w:val="single"/>
        <w:right w:color="4BACC6" w:space="0" w:sz="8" w:themeColor="accent5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color="4BACC6" w:space="0" w:sz="24" w:themeColor="accent5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tblPr/>
      <w:tcPr>
        <w:tcBorders>
          <w:top w:color="4BACC6" w:space="0" w:sz="8" w:themeColor="accent5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tblPr/>
      <w:tcPr>
        <w:tcBorders>
          <w:top w:val="nil"/>
          <w:left w:val="nil"/>
          <w:bottom w:val="nil"/>
          <w:right w:color="4BACC6" w:space="0" w:sz="8" w:themeColor="accent5" w:val="single"/>
          <w:insideH w:val="nil"/>
          <w:insideV w:val="nil"/>
        </w:tcBorders>
        <w:shd w:color="auto" w:fill="FFFFFF" w:themeFill="background1" w:val="clear"/>
      </w:tcPr>
    </w:tblStylePr>
    <w:tblStylePr w:type="lastCol">
      <w:tblPr/>
      <w:tcPr>
        <w:tcBorders>
          <w:top w:val="nil"/>
          <w:left w:color="4BACC6" w:space="0" w:sz="8" w:themeColor="accent5" w:val="single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D2EAF1" w:themeFill="accent5" w:themeFillTint="3F" w:val="clear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color="auto" w:fill="D2EAF1" w:themeFill="accent5" w:themeFillTint="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val="nil"/>
        </w:tcBorders>
      </w:tcPr>
    </w:tblStylePr>
  </w:style>
  <w:style w:styleId="MediumList2-Accent6" w:type="table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F79646" w:space="0" w:sz="8" w:themeColor="accent6" w:val="single"/>
        <w:left w:color="F79646" w:space="0" w:sz="8" w:themeColor="accent6" w:val="single"/>
        <w:bottom w:color="F79646" w:space="0" w:sz="8" w:themeColor="accent6" w:val="single"/>
        <w:right w:color="F79646" w:space="0" w:sz="8" w:themeColor="accent6" w:val="single"/>
      </w:tblBorders>
      <w:tblCellMar>
        <w:top w:type="dxa" w:w="0"/>
        <w:left w:type="dxa" w:w="108"/>
        <w:bottom w:type="dxa" w:w="0"/>
        <w:right w:type="dxa" w:w="108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color="F79646" w:space="0" w:sz="24" w:themeColor="accent6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tblPr/>
      <w:tcPr>
        <w:tcBorders>
          <w:top w:color="F79646" w:space="0" w:sz="8" w:themeColor="accent6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tblPr/>
      <w:tcPr>
        <w:tcBorders>
          <w:top w:val="nil"/>
          <w:left w:val="nil"/>
          <w:bottom w:val="nil"/>
          <w:right w:color="F79646" w:space="0" w:sz="8" w:themeColor="accent6" w:val="single"/>
          <w:insideH w:val="nil"/>
          <w:insideV w:val="nil"/>
        </w:tcBorders>
        <w:shd w:color="auto" w:fill="FFFFFF" w:themeFill="background1" w:val="clear"/>
      </w:tcPr>
    </w:tblStylePr>
    <w:tblStylePr w:type="lastCol">
      <w:tblPr/>
      <w:tcPr>
        <w:tcBorders>
          <w:top w:val="nil"/>
          <w:left w:color="F79646" w:space="0" w:sz="8" w:themeColor="accent6" w:val="single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color="auto" w:fill="FDE4D0" w:themeFill="accent6" w:themeFillTint="3F" w:val="clear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color="auto" w:fill="FDE4D0" w:themeFill="accent6" w:themeFillTint="3F" w:val="clear"/>
      </w:tcPr>
    </w:tblStylePr>
    <w:tblStylePr w:type="nwCell">
      <w:tblPr/>
      <w:tcPr>
        <w:shd w:color="auto" w:fill="FFFFFF" w:themeFill="background1" w:val="clear"/>
      </w:tcPr>
    </w:tblStylePr>
    <w:tblStylePr w:type="swCell">
      <w:tblPr/>
      <w:tcPr>
        <w:tcBorders>
          <w:top w:val="nil"/>
        </w:tcBorders>
      </w:tcPr>
    </w:tblStylePr>
  </w:style>
  <w:style w:styleId="MediumGrid1" w:type="table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404040" w:space="0" w:sz="8" w:themeColor="text1" w:themeTint="BF" w:val="single"/>
        <w:left w:color="404040" w:space="0" w:sz="8" w:themeColor="text1" w:themeTint="BF" w:val="single"/>
        <w:bottom w:color="404040" w:space="0" w:sz="8" w:themeColor="text1" w:themeTint="BF" w:val="single"/>
        <w:right w:color="404040" w:space="0" w:sz="8" w:themeColor="text1" w:themeTint="BF" w:val="single"/>
        <w:insideH w:color="404040" w:space="0" w:sz="8" w:themeColor="text1" w:themeTint="BF" w:val="single"/>
        <w:insideV w:color="404040" w:space="0" w:sz="8" w:themeColor="text1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C0C0C0" w:themeFill="text1" w:themeFillTint="3F" w:val="clear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color="404040" w:space="0" w:sz="18" w:themeColor="text1" w:themeTint="BF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808080" w:themeFill="text1" w:themeFillTint="7F" w:val="clear"/>
      </w:tcPr>
    </w:tblStylePr>
    <w:tblStylePr w:type="band1Horz">
      <w:tblPr/>
      <w:tcPr>
        <w:shd w:color="auto" w:fill="808080" w:themeFill="text1" w:themeFillTint="7F" w:val="clear"/>
      </w:tcPr>
    </w:tblStylePr>
  </w:style>
  <w:style w:styleId="MediumGrid1-Accent1" w:type="table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7BA0CD" w:space="0" w:sz="8" w:themeColor="accent1" w:themeTint="BF" w:val="single"/>
        <w:left w:color="7BA0CD" w:space="0" w:sz="8" w:themeColor="accent1" w:themeTint="BF" w:val="single"/>
        <w:bottom w:color="7BA0CD" w:space="0" w:sz="8" w:themeColor="accent1" w:themeTint="BF" w:val="single"/>
        <w:right w:color="7BA0CD" w:space="0" w:sz="8" w:themeColor="accent1" w:themeTint="BF" w:val="single"/>
        <w:insideH w:color="7BA0CD" w:space="0" w:sz="8" w:themeColor="accent1" w:themeTint="BF" w:val="single"/>
        <w:insideV w:color="7BA0CD" w:space="0" w:sz="8" w:themeColor="accent1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3DFEE" w:themeFill="accent1" w:themeFillTint="3F" w:val="clear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color="7BA0CD" w:space="0" w:sz="18" w:themeColor="accent1" w:themeTint="BF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A7BFDE" w:themeFill="accent1" w:themeFillTint="7F" w:val="clear"/>
      </w:tcPr>
    </w:tblStylePr>
    <w:tblStylePr w:type="band1Horz">
      <w:tblPr/>
      <w:tcPr>
        <w:shd w:color="auto" w:fill="A7BFDE" w:themeFill="accent1" w:themeFillTint="7F" w:val="clear"/>
      </w:tcPr>
    </w:tblStylePr>
  </w:style>
  <w:style w:styleId="MediumGrid1-Accent2" w:type="table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CF7B79" w:space="0" w:sz="8" w:themeColor="accent2" w:themeTint="BF" w:val="single"/>
        <w:left w:color="CF7B79" w:space="0" w:sz="8" w:themeColor="accent2" w:themeTint="BF" w:val="single"/>
        <w:bottom w:color="CF7B79" w:space="0" w:sz="8" w:themeColor="accent2" w:themeTint="BF" w:val="single"/>
        <w:right w:color="CF7B79" w:space="0" w:sz="8" w:themeColor="accent2" w:themeTint="BF" w:val="single"/>
        <w:insideH w:color="CF7B79" w:space="0" w:sz="8" w:themeColor="accent2" w:themeTint="BF" w:val="single"/>
        <w:insideV w:color="CF7B79" w:space="0" w:sz="8" w:themeColor="accent2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FD3D2" w:themeFill="accent2" w:themeFillTint="3F" w:val="clear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color="CF7B79" w:space="0" w:sz="18" w:themeColor="accent2" w:themeTint="BF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DFA7A6" w:themeFill="accent2" w:themeFillTint="7F" w:val="clear"/>
      </w:tcPr>
    </w:tblStylePr>
    <w:tblStylePr w:type="band1Horz">
      <w:tblPr/>
      <w:tcPr>
        <w:shd w:color="auto" w:fill="DFA7A6" w:themeFill="accent2" w:themeFillTint="7F" w:val="clear"/>
      </w:tcPr>
    </w:tblStylePr>
  </w:style>
  <w:style w:styleId="MediumGrid1-Accent3" w:type="table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B3CC82" w:space="0" w:sz="8" w:themeColor="accent3" w:themeTint="BF" w:val="single"/>
        <w:left w:color="B3CC82" w:space="0" w:sz="8" w:themeColor="accent3" w:themeTint="BF" w:val="single"/>
        <w:bottom w:color="B3CC82" w:space="0" w:sz="8" w:themeColor="accent3" w:themeTint="BF" w:val="single"/>
        <w:right w:color="B3CC82" w:space="0" w:sz="8" w:themeColor="accent3" w:themeTint="BF" w:val="single"/>
        <w:insideH w:color="B3CC82" w:space="0" w:sz="8" w:themeColor="accent3" w:themeTint="BF" w:val="single"/>
        <w:insideV w:color="B3CC82" w:space="0" w:sz="8" w:themeColor="accent3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6EED5" w:themeFill="accent3" w:themeFillTint="3F" w:val="clear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color="B3CC82" w:space="0" w:sz="18" w:themeColor="accent3" w:themeTint="BF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CDDDAC" w:themeFill="accent3" w:themeFillTint="7F" w:val="clear"/>
      </w:tcPr>
    </w:tblStylePr>
    <w:tblStylePr w:type="band1Horz">
      <w:tblPr/>
      <w:tcPr>
        <w:shd w:color="auto" w:fill="CDDDAC" w:themeFill="accent3" w:themeFillTint="7F" w:val="clear"/>
      </w:tcPr>
    </w:tblStylePr>
  </w:style>
  <w:style w:styleId="MediumGrid1-Accent4" w:type="table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9F8AB9" w:space="0" w:sz="8" w:themeColor="accent4" w:themeTint="BF" w:val="single"/>
        <w:left w:color="9F8AB9" w:space="0" w:sz="8" w:themeColor="accent4" w:themeTint="BF" w:val="single"/>
        <w:bottom w:color="9F8AB9" w:space="0" w:sz="8" w:themeColor="accent4" w:themeTint="BF" w:val="single"/>
        <w:right w:color="9F8AB9" w:space="0" w:sz="8" w:themeColor="accent4" w:themeTint="BF" w:val="single"/>
        <w:insideH w:color="9F8AB9" w:space="0" w:sz="8" w:themeColor="accent4" w:themeTint="BF" w:val="single"/>
        <w:insideV w:color="9F8AB9" w:space="0" w:sz="8" w:themeColor="accent4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FD8E8" w:themeFill="accent4" w:themeFillTint="3F" w:val="clear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color="9F8AB9" w:space="0" w:sz="18" w:themeColor="accent4" w:themeTint="BF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BFB1D0" w:themeFill="accent4" w:themeFillTint="7F" w:val="clear"/>
      </w:tcPr>
    </w:tblStylePr>
    <w:tblStylePr w:type="band1Horz">
      <w:tblPr/>
      <w:tcPr>
        <w:shd w:color="auto" w:fill="BFB1D0" w:themeFill="accent4" w:themeFillTint="7F" w:val="clear"/>
      </w:tcPr>
    </w:tblStylePr>
  </w:style>
  <w:style w:styleId="MediumGrid1-Accent5" w:type="table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78C0D4" w:space="0" w:sz="8" w:themeColor="accent5" w:themeTint="BF" w:val="single"/>
        <w:left w:color="78C0D4" w:space="0" w:sz="8" w:themeColor="accent5" w:themeTint="BF" w:val="single"/>
        <w:bottom w:color="78C0D4" w:space="0" w:sz="8" w:themeColor="accent5" w:themeTint="BF" w:val="single"/>
        <w:right w:color="78C0D4" w:space="0" w:sz="8" w:themeColor="accent5" w:themeTint="BF" w:val="single"/>
        <w:insideH w:color="78C0D4" w:space="0" w:sz="8" w:themeColor="accent5" w:themeTint="BF" w:val="single"/>
        <w:insideV w:color="78C0D4" w:space="0" w:sz="8" w:themeColor="accent5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2EAF1" w:themeFill="accent5" w:themeFillTint="3F" w:val="clear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color="78C0D4" w:space="0" w:sz="18" w:themeColor="accent5" w:themeTint="BF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A5D5E2" w:themeFill="accent5" w:themeFillTint="7F" w:val="clear"/>
      </w:tcPr>
    </w:tblStylePr>
    <w:tblStylePr w:type="band1Horz">
      <w:tblPr/>
      <w:tcPr>
        <w:shd w:color="auto" w:fill="A5D5E2" w:themeFill="accent5" w:themeFillTint="7F" w:val="clear"/>
      </w:tcPr>
    </w:tblStylePr>
  </w:style>
  <w:style w:styleId="MediumGrid1-Accent6" w:type="table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9B074" w:space="0" w:sz="8" w:themeColor="accent6" w:themeTint="BF" w:val="single"/>
        <w:left w:color="F9B074" w:space="0" w:sz="8" w:themeColor="accent6" w:themeTint="BF" w:val="single"/>
        <w:bottom w:color="F9B074" w:space="0" w:sz="8" w:themeColor="accent6" w:themeTint="BF" w:val="single"/>
        <w:right w:color="F9B074" w:space="0" w:sz="8" w:themeColor="accent6" w:themeTint="BF" w:val="single"/>
        <w:insideH w:color="F9B074" w:space="0" w:sz="8" w:themeColor="accent6" w:themeTint="BF" w:val="single"/>
        <w:insideV w:color="F9B074" w:space="0" w:sz="8" w:themeColor="accent6" w:themeTint="BF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FDE4D0" w:themeFill="accent6" w:themeFillTint="3F" w:val="clear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color="F9B074" w:space="0" w:sz="18" w:themeColor="accent6" w:themeTint="BF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color="auto" w:fill="FBCAA2" w:themeFill="accent6" w:themeFillTint="7F" w:val="clear"/>
      </w:tcPr>
    </w:tblStylePr>
    <w:tblStylePr w:type="band1Horz">
      <w:tblPr/>
      <w:tcPr>
        <w:shd w:color="auto" w:fill="FBCAA2" w:themeFill="accent6" w:themeFillTint="7F" w:val="clear"/>
      </w:tcPr>
    </w:tblStylePr>
  </w:style>
  <w:style w:styleId="MediumGrid2" w:type="table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000000" w:space="0" w:sz="8" w:themeColor="text1" w:val="single"/>
        <w:left w:color="000000" w:space="0" w:sz="8" w:themeColor="text1" w:val="single"/>
        <w:bottom w:color="000000" w:space="0" w:sz="8" w:themeColor="text1" w:val="single"/>
        <w:right w:color="000000" w:space="0" w:sz="8" w:themeColor="text1" w:val="single"/>
        <w:insideH w:color="000000" w:space="0" w:sz="8" w:themeColor="text1" w:val="single"/>
        <w:insideV w:color="000000" w:space="0" w:sz="8" w:themeColor="text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C0C0C0" w:themeFill="text1" w:themeFillTint="3F" w:val="clear"/>
    </w:tcPr>
    <w:tblStylePr w:type="firstRow">
      <w:rPr>
        <w:b/>
        <w:bCs/>
        <w:color w:themeColor="text1" w:val="000000"/>
      </w:rPr>
      <w:tblPr/>
      <w:tcPr>
        <w:shd w:color="auto" w:fill="E6E6E6" w:themeFill="text1" w:themeFillTint="19" w:val="clear"/>
      </w:tcPr>
    </w:tblStylePr>
    <w:tblStylePr w:type="lastRow">
      <w:rPr>
        <w:b/>
        <w:bCs/>
        <w:color w:themeColor="text1" w:val="000000"/>
      </w:rPr>
      <w:tblPr/>
      <w:tcPr>
        <w:tcBorders>
          <w:top w:color="000000" w:space="0" w:sz="12" w:themeColor="text1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CCCCCC" w:themeFill="text1" w:themeFillTint="33" w:val="clear"/>
      </w:tcPr>
    </w:tblStylePr>
    <w:tblStylePr w:type="band1Vert">
      <w:tblPr/>
      <w:tcPr>
        <w:shd w:color="auto" w:fill="808080" w:themeFill="text1" w:themeFillTint="7F" w:val="clear"/>
      </w:tcPr>
    </w:tblStylePr>
    <w:tblStylePr w:type="band1Horz">
      <w:tblPr/>
      <w:tcPr>
        <w:tcBorders>
          <w:insideH w:color="000000" w:space="0" w:sz="6" w:themeColor="text1" w:val="single"/>
          <w:insideV w:color="000000" w:space="0" w:sz="6" w:themeColor="text1" w:val="single"/>
        </w:tcBorders>
        <w:shd w:color="auto" w:fill="808080" w:themeFill="text1" w:themeFillTint="7F" w:val="clear"/>
      </w:tcPr>
    </w:tblStylePr>
    <w:tblStylePr w:type="nwCell">
      <w:tblPr/>
      <w:tcPr>
        <w:shd w:color="auto" w:fill="FFFFFF" w:themeFill="background1" w:val="clear"/>
      </w:tcPr>
    </w:tblStylePr>
  </w:style>
  <w:style w:styleId="MediumGrid2-Accent1" w:type="table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4F81BD" w:space="0" w:sz="8" w:themeColor="accent1" w:val="single"/>
        <w:left w:color="4F81BD" w:space="0" w:sz="8" w:themeColor="accent1" w:val="single"/>
        <w:bottom w:color="4F81BD" w:space="0" w:sz="8" w:themeColor="accent1" w:val="single"/>
        <w:right w:color="4F81BD" w:space="0" w:sz="8" w:themeColor="accent1" w:val="single"/>
        <w:insideH w:color="4F81BD" w:space="0" w:sz="8" w:themeColor="accent1" w:val="single"/>
        <w:insideV w:color="4F81BD" w:space="0" w:sz="8" w:themeColor="accent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3DFEE" w:themeFill="accent1" w:themeFillTint="3F" w:val="clear"/>
    </w:tcPr>
    <w:tblStylePr w:type="firstRow">
      <w:rPr>
        <w:b/>
        <w:bCs/>
        <w:color w:themeColor="text1" w:val="000000"/>
      </w:rPr>
      <w:tblPr/>
      <w:tcPr>
        <w:shd w:color="auto" w:fill="EDF2F8" w:themeFill="accent1" w:themeFillTint="19" w:val="clear"/>
      </w:tcPr>
    </w:tblStylePr>
    <w:tblStylePr w:type="lastRow">
      <w:rPr>
        <w:b/>
        <w:bCs/>
        <w:color w:themeColor="text1" w:val="000000"/>
      </w:rPr>
      <w:tblPr/>
      <w:tcPr>
        <w:tcBorders>
          <w:top w:color="000000" w:space="0" w:sz="12" w:themeColor="text1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DBE5F1" w:themeFill="accent1" w:themeFillTint="33" w:val="clear"/>
      </w:tcPr>
    </w:tblStylePr>
    <w:tblStylePr w:type="band1Vert">
      <w:tblPr/>
      <w:tcPr>
        <w:shd w:color="auto" w:fill="A7BFDE" w:themeFill="accent1" w:themeFillTint="7F" w:val="clear"/>
      </w:tcPr>
    </w:tblStylePr>
    <w:tblStylePr w:type="band1Horz">
      <w:tblPr/>
      <w:tcPr>
        <w:tcBorders>
          <w:insideH w:color="4F81BD" w:space="0" w:sz="6" w:themeColor="accent1" w:val="single"/>
          <w:insideV w:color="4F81BD" w:space="0" w:sz="6" w:themeColor="accent1" w:val="single"/>
        </w:tcBorders>
        <w:shd w:color="auto" w:fill="A7BFDE" w:themeFill="accent1" w:themeFillTint="7F" w:val="clear"/>
      </w:tcPr>
    </w:tblStylePr>
    <w:tblStylePr w:type="nwCell">
      <w:tblPr/>
      <w:tcPr>
        <w:shd w:color="auto" w:fill="FFFFFF" w:themeFill="background1" w:val="clear"/>
      </w:tcPr>
    </w:tblStylePr>
  </w:style>
  <w:style w:styleId="MediumGrid2-Accent2" w:type="table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C0504D" w:space="0" w:sz="8" w:themeColor="accent2" w:val="single"/>
        <w:left w:color="C0504D" w:space="0" w:sz="8" w:themeColor="accent2" w:val="single"/>
        <w:bottom w:color="C0504D" w:space="0" w:sz="8" w:themeColor="accent2" w:val="single"/>
        <w:right w:color="C0504D" w:space="0" w:sz="8" w:themeColor="accent2" w:val="single"/>
        <w:insideH w:color="C0504D" w:space="0" w:sz="8" w:themeColor="accent2" w:val="single"/>
        <w:insideV w:color="C0504D" w:space="0" w:sz="8" w:themeColor="accent2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FD3D2" w:themeFill="accent2" w:themeFillTint="3F" w:val="clear"/>
    </w:tcPr>
    <w:tblStylePr w:type="firstRow">
      <w:rPr>
        <w:b/>
        <w:bCs/>
        <w:color w:themeColor="text1" w:val="000000"/>
      </w:rPr>
      <w:tblPr/>
      <w:tcPr>
        <w:shd w:color="auto" w:fill="F8EDED" w:themeFill="accent2" w:themeFillTint="19" w:val="clear"/>
      </w:tcPr>
    </w:tblStylePr>
    <w:tblStylePr w:type="lastRow">
      <w:rPr>
        <w:b/>
        <w:bCs/>
        <w:color w:themeColor="text1" w:val="000000"/>
      </w:rPr>
      <w:tblPr/>
      <w:tcPr>
        <w:tcBorders>
          <w:top w:color="000000" w:space="0" w:sz="12" w:themeColor="text1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2DBDB" w:themeFill="accent2" w:themeFillTint="33" w:val="clear"/>
      </w:tcPr>
    </w:tblStylePr>
    <w:tblStylePr w:type="band1Vert">
      <w:tblPr/>
      <w:tcPr>
        <w:shd w:color="auto" w:fill="DFA7A6" w:themeFill="accent2" w:themeFillTint="7F" w:val="clear"/>
      </w:tcPr>
    </w:tblStylePr>
    <w:tblStylePr w:type="band1Horz">
      <w:tblPr/>
      <w:tcPr>
        <w:tcBorders>
          <w:insideH w:color="C0504D" w:space="0" w:sz="6" w:themeColor="accent2" w:val="single"/>
          <w:insideV w:color="C0504D" w:space="0" w:sz="6" w:themeColor="accent2" w:val="single"/>
        </w:tcBorders>
        <w:shd w:color="auto" w:fill="DFA7A6" w:themeFill="accent2" w:themeFillTint="7F" w:val="clear"/>
      </w:tcPr>
    </w:tblStylePr>
    <w:tblStylePr w:type="nwCell">
      <w:tblPr/>
      <w:tcPr>
        <w:shd w:color="auto" w:fill="FFFFFF" w:themeFill="background1" w:val="clear"/>
      </w:tcPr>
    </w:tblStylePr>
  </w:style>
  <w:style w:styleId="MediumGrid2-Accent3" w:type="table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9BBB59" w:space="0" w:sz="8" w:themeColor="accent3" w:val="single"/>
        <w:left w:color="9BBB59" w:space="0" w:sz="8" w:themeColor="accent3" w:val="single"/>
        <w:bottom w:color="9BBB59" w:space="0" w:sz="8" w:themeColor="accent3" w:val="single"/>
        <w:right w:color="9BBB59" w:space="0" w:sz="8" w:themeColor="accent3" w:val="single"/>
        <w:insideH w:color="9BBB59" w:space="0" w:sz="8" w:themeColor="accent3" w:val="single"/>
        <w:insideV w:color="9BBB59" w:space="0" w:sz="8" w:themeColor="accent3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6EED5" w:themeFill="accent3" w:themeFillTint="3F" w:val="clear"/>
    </w:tcPr>
    <w:tblStylePr w:type="firstRow">
      <w:rPr>
        <w:b/>
        <w:bCs/>
        <w:color w:themeColor="text1" w:val="000000"/>
      </w:rPr>
      <w:tblPr/>
      <w:tcPr>
        <w:shd w:color="auto" w:fill="F5F8EE" w:themeFill="accent3" w:themeFillTint="19" w:val="clear"/>
      </w:tcPr>
    </w:tblStylePr>
    <w:tblStylePr w:type="lastRow">
      <w:rPr>
        <w:b/>
        <w:bCs/>
        <w:color w:themeColor="text1" w:val="000000"/>
      </w:rPr>
      <w:tblPr/>
      <w:tcPr>
        <w:tcBorders>
          <w:top w:color="000000" w:space="0" w:sz="12" w:themeColor="text1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EAF1DD" w:themeFill="accent3" w:themeFillTint="33" w:val="clear"/>
      </w:tcPr>
    </w:tblStylePr>
    <w:tblStylePr w:type="band1Vert">
      <w:tblPr/>
      <w:tcPr>
        <w:shd w:color="auto" w:fill="CDDDAC" w:themeFill="accent3" w:themeFillTint="7F" w:val="clear"/>
      </w:tcPr>
    </w:tblStylePr>
    <w:tblStylePr w:type="band1Horz">
      <w:tblPr/>
      <w:tcPr>
        <w:tcBorders>
          <w:insideH w:color="9BBB59" w:space="0" w:sz="6" w:themeColor="accent3" w:val="single"/>
          <w:insideV w:color="9BBB59" w:space="0" w:sz="6" w:themeColor="accent3" w:val="single"/>
        </w:tcBorders>
        <w:shd w:color="auto" w:fill="CDDDAC" w:themeFill="accent3" w:themeFillTint="7F" w:val="clear"/>
      </w:tcPr>
    </w:tblStylePr>
    <w:tblStylePr w:type="nwCell">
      <w:tblPr/>
      <w:tcPr>
        <w:shd w:color="auto" w:fill="FFFFFF" w:themeFill="background1" w:val="clear"/>
      </w:tcPr>
    </w:tblStylePr>
  </w:style>
  <w:style w:styleId="MediumGrid2-Accent4" w:type="table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8064A2" w:space="0" w:sz="8" w:themeColor="accent4" w:val="single"/>
        <w:left w:color="8064A2" w:space="0" w:sz="8" w:themeColor="accent4" w:val="single"/>
        <w:bottom w:color="8064A2" w:space="0" w:sz="8" w:themeColor="accent4" w:val="single"/>
        <w:right w:color="8064A2" w:space="0" w:sz="8" w:themeColor="accent4" w:val="single"/>
        <w:insideH w:color="8064A2" w:space="0" w:sz="8" w:themeColor="accent4" w:val="single"/>
        <w:insideV w:color="8064A2" w:space="0" w:sz="8" w:themeColor="accent4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FD8E8" w:themeFill="accent4" w:themeFillTint="3F" w:val="clear"/>
    </w:tcPr>
    <w:tblStylePr w:type="firstRow">
      <w:rPr>
        <w:b/>
        <w:bCs/>
        <w:color w:themeColor="text1" w:val="000000"/>
      </w:rPr>
      <w:tblPr/>
      <w:tcPr>
        <w:shd w:color="auto" w:fill="F2EFF6" w:themeFill="accent4" w:themeFillTint="19" w:val="clear"/>
      </w:tcPr>
    </w:tblStylePr>
    <w:tblStylePr w:type="lastRow">
      <w:rPr>
        <w:b/>
        <w:bCs/>
        <w:color w:themeColor="text1" w:val="000000"/>
      </w:rPr>
      <w:tblPr/>
      <w:tcPr>
        <w:tcBorders>
          <w:top w:color="000000" w:space="0" w:sz="12" w:themeColor="text1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E5DFEC" w:themeFill="accent4" w:themeFillTint="33" w:val="clear"/>
      </w:tcPr>
    </w:tblStylePr>
    <w:tblStylePr w:type="band1Vert">
      <w:tblPr/>
      <w:tcPr>
        <w:shd w:color="auto" w:fill="BFB1D0" w:themeFill="accent4" w:themeFillTint="7F" w:val="clear"/>
      </w:tcPr>
    </w:tblStylePr>
    <w:tblStylePr w:type="band1Horz">
      <w:tblPr/>
      <w:tcPr>
        <w:tcBorders>
          <w:insideH w:color="8064A2" w:space="0" w:sz="6" w:themeColor="accent4" w:val="single"/>
          <w:insideV w:color="8064A2" w:space="0" w:sz="6" w:themeColor="accent4" w:val="single"/>
        </w:tcBorders>
        <w:shd w:color="auto" w:fill="BFB1D0" w:themeFill="accent4" w:themeFillTint="7F" w:val="clear"/>
      </w:tcPr>
    </w:tblStylePr>
    <w:tblStylePr w:type="nwCell">
      <w:tblPr/>
      <w:tcPr>
        <w:shd w:color="auto" w:fill="FFFFFF" w:themeFill="background1" w:val="clear"/>
      </w:tcPr>
    </w:tblStylePr>
  </w:style>
  <w:style w:styleId="MediumGrid2-Accent5" w:type="table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4BACC6" w:space="0" w:sz="8" w:themeColor="accent5" w:val="single"/>
        <w:left w:color="4BACC6" w:space="0" w:sz="8" w:themeColor="accent5" w:val="single"/>
        <w:bottom w:color="4BACC6" w:space="0" w:sz="8" w:themeColor="accent5" w:val="single"/>
        <w:right w:color="4BACC6" w:space="0" w:sz="8" w:themeColor="accent5" w:val="single"/>
        <w:insideH w:color="4BACC6" w:space="0" w:sz="8" w:themeColor="accent5" w:val="single"/>
        <w:insideV w:color="4BACC6" w:space="0" w:sz="8" w:themeColor="accent5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2EAF1" w:themeFill="accent5" w:themeFillTint="3F" w:val="clear"/>
    </w:tcPr>
    <w:tblStylePr w:type="firstRow">
      <w:rPr>
        <w:b/>
        <w:bCs/>
        <w:color w:themeColor="text1" w:val="000000"/>
      </w:rPr>
      <w:tblPr/>
      <w:tcPr>
        <w:shd w:color="auto" w:fill="EDF6F9" w:themeFill="accent5" w:themeFillTint="19" w:val="clear"/>
      </w:tcPr>
    </w:tblStylePr>
    <w:tblStylePr w:type="lastRow">
      <w:rPr>
        <w:b/>
        <w:bCs/>
        <w:color w:themeColor="text1" w:val="000000"/>
      </w:rPr>
      <w:tblPr/>
      <w:tcPr>
        <w:tcBorders>
          <w:top w:color="000000" w:space="0" w:sz="12" w:themeColor="text1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DAEEF3" w:themeFill="accent5" w:themeFillTint="33" w:val="clear"/>
      </w:tcPr>
    </w:tblStylePr>
    <w:tblStylePr w:type="band1Vert">
      <w:tblPr/>
      <w:tcPr>
        <w:shd w:color="auto" w:fill="A5D5E2" w:themeFill="accent5" w:themeFillTint="7F" w:val="clear"/>
      </w:tcPr>
    </w:tblStylePr>
    <w:tblStylePr w:type="band1Horz">
      <w:tblPr/>
      <w:tcPr>
        <w:tcBorders>
          <w:insideH w:color="4BACC6" w:space="0" w:sz="6" w:themeColor="accent5" w:val="single"/>
          <w:insideV w:color="4BACC6" w:space="0" w:sz="6" w:themeColor="accent5" w:val="single"/>
        </w:tcBorders>
        <w:shd w:color="auto" w:fill="A5D5E2" w:themeFill="accent5" w:themeFillTint="7F" w:val="clear"/>
      </w:tcPr>
    </w:tblStylePr>
    <w:tblStylePr w:type="nwCell">
      <w:tblPr/>
      <w:tcPr>
        <w:shd w:color="auto" w:fill="FFFFFF" w:themeFill="background1" w:val="clear"/>
      </w:tcPr>
    </w:tblStylePr>
  </w:style>
  <w:style w:styleId="MediumGrid2-Accent6" w:type="table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cstheme="majorBidi" w:eastAsiaTheme="majorEastAsia" w:hAnsiTheme="majorHAnsi"/>
      <w:color w:themeColor="text1" w:val="000000"/>
    </w:rPr>
    <w:tblPr>
      <w:tblStyleRowBandSize w:val="1"/>
      <w:tblStyleColBandSize w:val="1"/>
      <w:tblInd w:type="dxa" w:w="0"/>
      <w:tblBorders>
        <w:top w:color="F79646" w:space="0" w:sz="8" w:themeColor="accent6" w:val="single"/>
        <w:left w:color="F79646" w:space="0" w:sz="8" w:themeColor="accent6" w:val="single"/>
        <w:bottom w:color="F79646" w:space="0" w:sz="8" w:themeColor="accent6" w:val="single"/>
        <w:right w:color="F79646" w:space="0" w:sz="8" w:themeColor="accent6" w:val="single"/>
        <w:insideH w:color="F79646" w:space="0" w:sz="8" w:themeColor="accent6" w:val="single"/>
        <w:insideV w:color="F79646" w:space="0" w:sz="8" w:themeColor="accent6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FDE4D0" w:themeFill="accent6" w:themeFillTint="3F" w:val="clear"/>
    </w:tcPr>
    <w:tblStylePr w:type="firstRow">
      <w:rPr>
        <w:b/>
        <w:bCs/>
        <w:color w:themeColor="text1" w:val="000000"/>
      </w:rPr>
      <w:tblPr/>
      <w:tcPr>
        <w:shd w:color="auto" w:fill="FEF4EC" w:themeFill="accent6" w:themeFillTint="19" w:val="clear"/>
      </w:tcPr>
    </w:tblStylePr>
    <w:tblStylePr w:type="lastRow">
      <w:rPr>
        <w:b/>
        <w:bCs/>
        <w:color w:themeColor="text1" w:val="000000"/>
      </w:rPr>
      <w:tblPr/>
      <w:tcPr>
        <w:tcBorders>
          <w:top w:color="000000" w:space="0" w:sz="12" w:themeColor="text1" w:val="single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firstCol">
      <w:rPr>
        <w:b/>
        <w:bCs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Col">
      <w:rPr>
        <w:b w:val="0"/>
        <w:bCs w:val="0"/>
        <w:color w:themeColor="text1"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DE9D9" w:themeFill="accent6" w:themeFillTint="33" w:val="clear"/>
      </w:tcPr>
    </w:tblStylePr>
    <w:tblStylePr w:type="band1Vert">
      <w:tblPr/>
      <w:tcPr>
        <w:shd w:color="auto" w:fill="FBCAA2" w:themeFill="accent6" w:themeFillTint="7F" w:val="clear"/>
      </w:tcPr>
    </w:tblStylePr>
    <w:tblStylePr w:type="band1Horz">
      <w:tblPr/>
      <w:tcPr>
        <w:tcBorders>
          <w:insideH w:color="F79646" w:space="0" w:sz="6" w:themeColor="accent6" w:val="single"/>
          <w:insideV w:color="F79646" w:space="0" w:sz="6" w:themeColor="accent6" w:val="single"/>
        </w:tcBorders>
        <w:shd w:color="auto" w:fill="FBCAA2" w:themeFill="accent6" w:themeFillTint="7F" w:val="clear"/>
      </w:tcPr>
    </w:tblStylePr>
    <w:tblStylePr w:type="nwCell">
      <w:tblPr/>
      <w:tcPr>
        <w:shd w:color="auto" w:fill="FFFFFF" w:themeFill="background1" w:val="clear"/>
      </w:tcPr>
    </w:tblStylePr>
  </w:style>
  <w:style w:styleId="MediumGrid3" w:type="table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C0C0C0" w:themeFill="text1" w:themeFillTint="3F" w:val="clear"/>
    </w:tcPr>
    <w:tblStylePr w:type="fir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000000" w:themeFill="text1" w:val="clear"/>
      </w:tcPr>
    </w:tblStylePr>
    <w:tblStylePr w:type="la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000000" w:themeFill="text1" w:val="clear"/>
      </w:tcPr>
    </w:tblStylePr>
    <w:tblStylePr w:type="firstCol">
      <w:rPr>
        <w:b/>
        <w:bCs/>
        <w:i w:val="0"/>
        <w:iCs w:val="0"/>
        <w:color w:themeColor="background1" w:val="FFFFFF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val="nil"/>
          <w:insideV w:val="nil"/>
        </w:tcBorders>
        <w:shd w:color="auto" w:fill="000000" w:themeFill="text1" w:val="clear"/>
      </w:tcPr>
    </w:tblStylePr>
    <w:tblStylePr w:type="lastCol">
      <w:rPr>
        <w:b/>
        <w:bCs/>
        <w:i w:val="0"/>
        <w:iCs w:val="0"/>
        <w:color w:themeColor="background1" w:val="FFFFFF"/>
      </w:rPr>
      <w:tblPr/>
      <w:tcPr>
        <w:tcBorders>
          <w:top w:val="nil"/>
          <w:left w:color="FFFFFF" w:space="0" w:sz="24" w:themeColor="background1" w:val="single"/>
          <w:bottom w:val="nil"/>
          <w:right w:val="nil"/>
          <w:insideH w:val="nil"/>
          <w:insideV w:val="nil"/>
        </w:tcBorders>
        <w:shd w:color="auto" w:fill="000000" w:themeFill="text1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val="nil"/>
        </w:tcBorders>
        <w:shd w:color="auto" w:fill="808080" w:themeFill="text1" w:themeFillTint="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808080" w:themeFill="text1" w:themeFillTint="7F" w:val="clear"/>
      </w:tcPr>
    </w:tblStylePr>
  </w:style>
  <w:style w:styleId="MediumGrid3-Accent1" w:type="table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3DFEE" w:themeFill="accent1" w:themeFillTint="3F" w:val="clear"/>
    </w:tcPr>
    <w:tblStylePr w:type="fir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4F81BD" w:themeFill="accent1" w:val="clear"/>
      </w:tcPr>
    </w:tblStylePr>
    <w:tblStylePr w:type="la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4F81BD" w:themeFill="accent1" w:val="clear"/>
      </w:tcPr>
    </w:tblStylePr>
    <w:tblStylePr w:type="firstCol">
      <w:rPr>
        <w:b/>
        <w:bCs/>
        <w:i w:val="0"/>
        <w:iCs w:val="0"/>
        <w:color w:themeColor="background1" w:val="FFFFFF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val="nil"/>
          <w:insideV w:val="nil"/>
        </w:tcBorders>
        <w:shd w:color="auto" w:fill="4F81BD" w:themeFill="accent1" w:val="clear"/>
      </w:tcPr>
    </w:tblStylePr>
    <w:tblStylePr w:type="lastCol">
      <w:rPr>
        <w:b/>
        <w:bCs/>
        <w:i w:val="0"/>
        <w:iCs w:val="0"/>
        <w:color w:themeColor="background1" w:val="FFFFFF"/>
      </w:rPr>
      <w:tblPr/>
      <w:tcPr>
        <w:tcBorders>
          <w:top w:val="nil"/>
          <w:left w:color="FFFFFF" w:space="0" w:sz="24" w:themeColor="background1" w:val="single"/>
          <w:bottom w:val="nil"/>
          <w:right w:val="nil"/>
          <w:insideH w:val="nil"/>
          <w:insideV w:val="nil"/>
        </w:tcBorders>
        <w:shd w:color="auto" w:fill="4F81BD" w:themeFill="accent1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val="nil"/>
        </w:tcBorders>
        <w:shd w:color="auto" w:fill="A7BFDE" w:themeFill="accent1" w:themeFillTint="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A7BFDE" w:themeFill="accent1" w:themeFillTint="7F" w:val="clear"/>
      </w:tcPr>
    </w:tblStylePr>
  </w:style>
  <w:style w:styleId="MediumGrid3-Accent2" w:type="table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FD3D2" w:themeFill="accent2" w:themeFillTint="3F" w:val="clear"/>
    </w:tcPr>
    <w:tblStylePr w:type="fir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C0504D" w:themeFill="accent2" w:val="clear"/>
      </w:tcPr>
    </w:tblStylePr>
    <w:tblStylePr w:type="la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C0504D" w:themeFill="accent2" w:val="clear"/>
      </w:tcPr>
    </w:tblStylePr>
    <w:tblStylePr w:type="firstCol">
      <w:rPr>
        <w:b/>
        <w:bCs/>
        <w:i w:val="0"/>
        <w:iCs w:val="0"/>
        <w:color w:themeColor="background1" w:val="FFFFFF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val="nil"/>
          <w:insideV w:val="nil"/>
        </w:tcBorders>
        <w:shd w:color="auto" w:fill="C0504D" w:themeFill="accent2" w:val="clear"/>
      </w:tcPr>
    </w:tblStylePr>
    <w:tblStylePr w:type="lastCol">
      <w:rPr>
        <w:b/>
        <w:bCs/>
        <w:i w:val="0"/>
        <w:iCs w:val="0"/>
        <w:color w:themeColor="background1" w:val="FFFFFF"/>
      </w:rPr>
      <w:tblPr/>
      <w:tcPr>
        <w:tcBorders>
          <w:top w:val="nil"/>
          <w:left w:color="FFFFFF" w:space="0" w:sz="24" w:themeColor="background1" w:val="single"/>
          <w:bottom w:val="nil"/>
          <w:right w:val="nil"/>
          <w:insideH w:val="nil"/>
          <w:insideV w:val="nil"/>
        </w:tcBorders>
        <w:shd w:color="auto" w:fill="C0504D" w:themeFill="accent2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val="nil"/>
        </w:tcBorders>
        <w:shd w:color="auto" w:fill="DFA7A6" w:themeFill="accent2" w:themeFillTint="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DFA7A6" w:themeFill="accent2" w:themeFillTint="7F" w:val="clear"/>
      </w:tcPr>
    </w:tblStylePr>
  </w:style>
  <w:style w:styleId="MediumGrid3-Accent3" w:type="table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6EED5" w:themeFill="accent3" w:themeFillTint="3F" w:val="clear"/>
    </w:tcPr>
    <w:tblStylePr w:type="fir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9BBB59" w:themeFill="accent3" w:val="clear"/>
      </w:tcPr>
    </w:tblStylePr>
    <w:tblStylePr w:type="la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9BBB59" w:themeFill="accent3" w:val="clear"/>
      </w:tcPr>
    </w:tblStylePr>
    <w:tblStylePr w:type="firstCol">
      <w:rPr>
        <w:b/>
        <w:bCs/>
        <w:i w:val="0"/>
        <w:iCs w:val="0"/>
        <w:color w:themeColor="background1" w:val="FFFFFF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val="nil"/>
          <w:insideV w:val="nil"/>
        </w:tcBorders>
        <w:shd w:color="auto" w:fill="9BBB59" w:themeFill="accent3" w:val="clear"/>
      </w:tcPr>
    </w:tblStylePr>
    <w:tblStylePr w:type="lastCol">
      <w:rPr>
        <w:b/>
        <w:bCs/>
        <w:i w:val="0"/>
        <w:iCs w:val="0"/>
        <w:color w:themeColor="background1" w:val="FFFFFF"/>
      </w:rPr>
      <w:tblPr/>
      <w:tcPr>
        <w:tcBorders>
          <w:top w:val="nil"/>
          <w:left w:color="FFFFFF" w:space="0" w:sz="24" w:themeColor="background1" w:val="single"/>
          <w:bottom w:val="nil"/>
          <w:right w:val="nil"/>
          <w:insideH w:val="nil"/>
          <w:insideV w:val="nil"/>
        </w:tcBorders>
        <w:shd w:color="auto" w:fill="9BBB59" w:themeFill="accent3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val="nil"/>
        </w:tcBorders>
        <w:shd w:color="auto" w:fill="CDDDAC" w:themeFill="accent3" w:themeFillTint="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CDDDAC" w:themeFill="accent3" w:themeFillTint="7F" w:val="clear"/>
      </w:tcPr>
    </w:tblStylePr>
  </w:style>
  <w:style w:styleId="MediumGrid3-Accent4" w:type="table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FD8E8" w:themeFill="accent4" w:themeFillTint="3F" w:val="clear"/>
    </w:tcPr>
    <w:tblStylePr w:type="fir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8064A2" w:themeFill="accent4" w:val="clear"/>
      </w:tcPr>
    </w:tblStylePr>
    <w:tblStylePr w:type="la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8064A2" w:themeFill="accent4" w:val="clear"/>
      </w:tcPr>
    </w:tblStylePr>
    <w:tblStylePr w:type="firstCol">
      <w:rPr>
        <w:b/>
        <w:bCs/>
        <w:i w:val="0"/>
        <w:iCs w:val="0"/>
        <w:color w:themeColor="background1" w:val="FFFFFF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val="nil"/>
          <w:insideV w:val="nil"/>
        </w:tcBorders>
        <w:shd w:color="auto" w:fill="8064A2" w:themeFill="accent4" w:val="clear"/>
      </w:tcPr>
    </w:tblStylePr>
    <w:tblStylePr w:type="lastCol">
      <w:rPr>
        <w:b/>
        <w:bCs/>
        <w:i w:val="0"/>
        <w:iCs w:val="0"/>
        <w:color w:themeColor="background1" w:val="FFFFFF"/>
      </w:rPr>
      <w:tblPr/>
      <w:tcPr>
        <w:tcBorders>
          <w:top w:val="nil"/>
          <w:left w:color="FFFFFF" w:space="0" w:sz="24" w:themeColor="background1" w:val="single"/>
          <w:bottom w:val="nil"/>
          <w:right w:val="nil"/>
          <w:insideH w:val="nil"/>
          <w:insideV w:val="nil"/>
        </w:tcBorders>
        <w:shd w:color="auto" w:fill="8064A2" w:themeFill="accent4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val="nil"/>
        </w:tcBorders>
        <w:shd w:color="auto" w:fill="BFB1D0" w:themeFill="accent4" w:themeFillTint="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BFB1D0" w:themeFill="accent4" w:themeFillTint="7F" w:val="clear"/>
      </w:tcPr>
    </w:tblStylePr>
  </w:style>
  <w:style w:styleId="MediumGrid3-Accent5" w:type="table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2EAF1" w:themeFill="accent5" w:themeFillTint="3F" w:val="clear"/>
    </w:tcPr>
    <w:tblStylePr w:type="fir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4BACC6" w:themeFill="accent5" w:val="clear"/>
      </w:tcPr>
    </w:tblStylePr>
    <w:tblStylePr w:type="la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4BACC6" w:themeFill="accent5" w:val="clear"/>
      </w:tcPr>
    </w:tblStylePr>
    <w:tblStylePr w:type="firstCol">
      <w:rPr>
        <w:b/>
        <w:bCs/>
        <w:i w:val="0"/>
        <w:iCs w:val="0"/>
        <w:color w:themeColor="background1" w:val="FFFFFF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val="nil"/>
          <w:insideV w:val="nil"/>
        </w:tcBorders>
        <w:shd w:color="auto" w:fill="4BACC6" w:themeFill="accent5" w:val="clear"/>
      </w:tcPr>
    </w:tblStylePr>
    <w:tblStylePr w:type="lastCol">
      <w:rPr>
        <w:b/>
        <w:bCs/>
        <w:i w:val="0"/>
        <w:iCs w:val="0"/>
        <w:color w:themeColor="background1" w:val="FFFFFF"/>
      </w:rPr>
      <w:tblPr/>
      <w:tcPr>
        <w:tcBorders>
          <w:top w:val="nil"/>
          <w:left w:color="FFFFFF" w:space="0" w:sz="24" w:themeColor="background1" w:val="single"/>
          <w:bottom w:val="nil"/>
          <w:right w:val="nil"/>
          <w:insideH w:val="nil"/>
          <w:insideV w:val="nil"/>
        </w:tcBorders>
        <w:shd w:color="auto" w:fill="4BACC6" w:themeFill="accent5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val="nil"/>
        </w:tcBorders>
        <w:shd w:color="auto" w:fill="A5D5E2" w:themeFill="accent5" w:themeFillTint="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A5D5E2" w:themeFill="accent5" w:themeFillTint="7F" w:val="clear"/>
      </w:tcPr>
    </w:tblStylePr>
  </w:style>
  <w:style w:styleId="MediumGrid3-Accent6" w:type="table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type="dxa" w:w="0"/>
      <w:tblBorders>
        <w:top w:color="FFFFFF" w:space="0" w:sz="8" w:themeColor="background1" w:val="single"/>
        <w:left w:color="FFFFFF" w:space="0" w:sz="8" w:themeColor="background1" w:val="single"/>
        <w:bottom w:color="FFFFFF" w:space="0" w:sz="8" w:themeColor="background1" w:val="single"/>
        <w:right w:color="FFFFFF" w:space="0" w:sz="8" w:themeColor="background1" w:val="single"/>
        <w:insideH w:color="FFFFFF" w:space="0" w:sz="6" w:themeColor="background1" w:val="single"/>
        <w:insideV w:color="FFFFFF" w:space="0" w:sz="6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FDE4D0" w:themeFill="accent6" w:themeFillTint="3F" w:val="clear"/>
    </w:tcPr>
    <w:tblStylePr w:type="fir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24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F79646" w:themeFill="accent6" w:val="clear"/>
      </w:tcPr>
    </w:tblStylePr>
    <w:tblStylePr w:type="lastRow">
      <w:rPr>
        <w:b/>
        <w:bCs/>
        <w:i w:val="0"/>
        <w:iCs w:val="0"/>
        <w:color w:themeColor="background1" w:val="FFFFFF"/>
      </w:rPr>
      <w:tblPr/>
      <w:tcPr>
        <w:tcBorders>
          <w:top w:color="FFFFFF" w:space="0" w:sz="24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color="FFFFFF" w:space="0" w:sz="8" w:themeColor="background1" w:val="single"/>
        </w:tcBorders>
        <w:shd w:color="auto" w:fill="F79646" w:themeFill="accent6" w:val="clear"/>
      </w:tcPr>
    </w:tblStylePr>
    <w:tblStylePr w:type="firstCol">
      <w:rPr>
        <w:b/>
        <w:bCs/>
        <w:i w:val="0"/>
        <w:iCs w:val="0"/>
        <w:color w:themeColor="background1" w:val="FFFFFF"/>
      </w:rPr>
      <w:tblPr/>
      <w:tcPr>
        <w:tcBorders>
          <w:left w:color="FFFFFF" w:space="0" w:sz="8" w:themeColor="background1" w:val="single"/>
          <w:right w:color="FFFFFF" w:space="0" w:sz="24" w:themeColor="background1" w:val="single"/>
          <w:insideH w:val="nil"/>
          <w:insideV w:val="nil"/>
        </w:tcBorders>
        <w:shd w:color="auto" w:fill="F79646" w:themeFill="accent6" w:val="clear"/>
      </w:tcPr>
    </w:tblStylePr>
    <w:tblStylePr w:type="lastCol">
      <w:rPr>
        <w:b/>
        <w:bCs/>
        <w:i w:val="0"/>
        <w:iCs w:val="0"/>
        <w:color w:themeColor="background1" w:val="FFFFFF"/>
      </w:rPr>
      <w:tblPr/>
      <w:tcPr>
        <w:tcBorders>
          <w:top w:val="nil"/>
          <w:left w:color="FFFFFF" w:space="0" w:sz="24" w:themeColor="background1" w:val="single"/>
          <w:bottom w:val="nil"/>
          <w:right w:val="nil"/>
          <w:insideH w:val="nil"/>
          <w:insideV w:val="nil"/>
        </w:tcBorders>
        <w:shd w:color="auto" w:fill="F79646" w:themeFill="accent6" w:val="clear"/>
      </w:tcPr>
    </w:tblStylePr>
    <w:tblStylePr w:type="band1Vert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val="nil"/>
          <w:insideV w:val="nil"/>
        </w:tcBorders>
        <w:shd w:color="auto" w:fill="FBCAA2" w:themeFill="accent6" w:themeFillTint="7F" w:val="clear"/>
      </w:tcPr>
    </w:tblStylePr>
    <w:tblStylePr w:type="band1Horz">
      <w:tblPr/>
      <w:tcPr>
        <w:tcBorders>
          <w:top w:color="FFFFFF" w:space="0" w:sz="8" w:themeColor="background1" w:val="single"/>
          <w:left w:color="FFFFFF" w:space="0" w:sz="8" w:themeColor="background1" w:val="single"/>
          <w:bottom w:color="FFFFFF" w:space="0" w:sz="8" w:themeColor="background1" w:val="single"/>
          <w:right w:color="FFFFFF" w:space="0" w:sz="8" w:themeColor="background1" w:val="single"/>
          <w:insideH w:color="FFFFFF" w:space="0" w:sz="8" w:themeColor="background1" w:val="single"/>
          <w:insideV w:color="FFFFFF" w:space="0" w:sz="8" w:themeColor="background1" w:val="single"/>
        </w:tcBorders>
        <w:shd w:color="auto" w:fill="FBCAA2" w:themeFill="accent6" w:themeFillTint="7F" w:val="clear"/>
      </w:tcPr>
    </w:tblStylePr>
  </w:style>
  <w:style w:styleId="DarkList" w:type="table">
    <w:name w:val="Dark List"/>
    <w:basedOn w:val="TableNormal"/>
    <w:uiPriority w:val="70"/>
    <w:rsid w:val="00CB0664"/>
    <w:pPr>
      <w:spacing w:after="0" w:line="240" w:lineRule="auto"/>
    </w:pPr>
    <w:rPr>
      <w:color w:themeColor="background1" w:val="FFFFFF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000000" w:themeFill="text1" w:val="clear"/>
    </w:tcPr>
    <w:tblStylePr w:type="firstRow">
      <w:rPr>
        <w:b/>
        <w:bCs/>
      </w:rPr>
      <w:tblPr/>
      <w:tcPr>
        <w:tcBorders>
          <w:top w:val="nil"/>
          <w:left w:val="nil"/>
          <w:bottom w:color="FFFFFF" w:space="0" w:sz="18" w:themeColor="background1" w:val="single"/>
          <w:right w:val="nil"/>
          <w:insideH w:val="nil"/>
          <w:insideV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val="nil"/>
          <w:bottom w:val="nil"/>
          <w:right w:val="nil"/>
          <w:insideH w:val="nil"/>
          <w:insideV w:val="nil"/>
        </w:tcBorders>
        <w:shd w:color="auto" w:fill="000000" w:themeFill="text1" w:themeFillShade="7F" w:val="clear"/>
      </w:tcPr>
    </w:tblStylePr>
    <w:tblStylePr w:type="firstCol">
      <w:tblPr/>
      <w:tcPr>
        <w:tcBorders>
          <w:top w:val="nil"/>
          <w:left w:val="nil"/>
          <w:bottom w:val="nil"/>
          <w:right w:color="FFFFFF" w:space="0" w:sz="18" w:themeColor="background1" w:val="single"/>
          <w:insideH w:val="nil"/>
          <w:insideV w:val="nil"/>
        </w:tcBorders>
        <w:shd w:color="auto" w:fill="000000" w:themeFill="text1" w:themeFillShade="BF" w:val="clear"/>
      </w:tcPr>
    </w:tblStylePr>
    <w:tblStylePr w:type="lastCol">
      <w:tblPr/>
      <w:tcPr>
        <w:tcBorders>
          <w:top w:val="nil"/>
          <w:left w:color="FFFFFF" w:space="0" w:sz="18" w:themeColor="background1" w:val="single"/>
          <w:bottom w:val="nil"/>
          <w:right w:val="nil"/>
          <w:insideH w:val="nil"/>
          <w:insideV w:val="nil"/>
        </w:tcBorders>
        <w:shd w:color="auto" w:fill="000000" w:themeFill="text1" w:themeFillShade="BF" w:val="clear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000000" w:themeFill="text1" w:themeFillShade="BF" w:val="clear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000000" w:themeFill="text1" w:themeFillShade="BF" w:val="clear"/>
      </w:tcPr>
    </w:tblStylePr>
  </w:style>
  <w:style w:styleId="DarkList-Accent1" w:type="table">
    <w:name w:val="Dark List Accent 1"/>
    <w:basedOn w:val="TableNormal"/>
    <w:uiPriority w:val="70"/>
    <w:rsid w:val="00CB0664"/>
    <w:pPr>
      <w:spacing w:after="0" w:line="240" w:lineRule="auto"/>
    </w:pPr>
    <w:rPr>
      <w:color w:themeColor="background1" w:val="FFFFFF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4F81BD" w:themeFill="accent1" w:val="clear"/>
    </w:tcPr>
    <w:tblStylePr w:type="firstRow">
      <w:rPr>
        <w:b/>
        <w:bCs/>
      </w:rPr>
      <w:tblPr/>
      <w:tcPr>
        <w:tcBorders>
          <w:top w:val="nil"/>
          <w:left w:val="nil"/>
          <w:bottom w:color="FFFFFF" w:space="0" w:sz="18" w:themeColor="background1" w:val="single"/>
          <w:right w:val="nil"/>
          <w:insideH w:val="nil"/>
          <w:insideV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val="nil"/>
          <w:bottom w:val="nil"/>
          <w:right w:val="nil"/>
          <w:insideH w:val="nil"/>
          <w:insideV w:val="nil"/>
        </w:tcBorders>
        <w:shd w:color="auto" w:fill="243F60" w:themeFill="accent1" w:themeFillShade="7F" w:val="clear"/>
      </w:tcPr>
    </w:tblStylePr>
    <w:tblStylePr w:type="firstCol">
      <w:tblPr/>
      <w:tcPr>
        <w:tcBorders>
          <w:top w:val="nil"/>
          <w:left w:val="nil"/>
          <w:bottom w:val="nil"/>
          <w:right w:color="FFFFFF" w:space="0" w:sz="18" w:themeColor="background1" w:val="single"/>
          <w:insideH w:val="nil"/>
          <w:insideV w:val="nil"/>
        </w:tcBorders>
        <w:shd w:color="auto" w:fill="365F91" w:themeFill="accent1" w:themeFillShade="BF" w:val="clear"/>
      </w:tcPr>
    </w:tblStylePr>
    <w:tblStylePr w:type="lastCol">
      <w:tblPr/>
      <w:tcPr>
        <w:tcBorders>
          <w:top w:val="nil"/>
          <w:left w:color="FFFFFF" w:space="0" w:sz="18" w:themeColor="background1" w:val="single"/>
          <w:bottom w:val="nil"/>
          <w:right w:val="nil"/>
          <w:insideH w:val="nil"/>
          <w:insideV w:val="nil"/>
        </w:tcBorders>
        <w:shd w:color="auto" w:fill="365F91" w:themeFill="accent1" w:themeFillShade="BF" w:val="clear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365F91" w:themeFill="accent1" w:themeFillShade="BF" w:val="clear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365F91" w:themeFill="accent1" w:themeFillShade="BF" w:val="clear"/>
      </w:tcPr>
    </w:tblStylePr>
  </w:style>
  <w:style w:styleId="DarkList-Accent2" w:type="table">
    <w:name w:val="Dark List Accent 2"/>
    <w:basedOn w:val="TableNormal"/>
    <w:uiPriority w:val="70"/>
    <w:rsid w:val="00CB0664"/>
    <w:pPr>
      <w:spacing w:after="0" w:line="240" w:lineRule="auto"/>
    </w:pPr>
    <w:rPr>
      <w:color w:themeColor="background1" w:val="FFFFFF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C0504D" w:themeFill="accent2" w:val="clear"/>
    </w:tcPr>
    <w:tblStylePr w:type="firstRow">
      <w:rPr>
        <w:b/>
        <w:bCs/>
      </w:rPr>
      <w:tblPr/>
      <w:tcPr>
        <w:tcBorders>
          <w:top w:val="nil"/>
          <w:left w:val="nil"/>
          <w:bottom w:color="FFFFFF" w:space="0" w:sz="18" w:themeColor="background1" w:val="single"/>
          <w:right w:val="nil"/>
          <w:insideH w:val="nil"/>
          <w:insideV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val="nil"/>
          <w:bottom w:val="nil"/>
          <w:right w:val="nil"/>
          <w:insideH w:val="nil"/>
          <w:insideV w:val="nil"/>
        </w:tcBorders>
        <w:shd w:color="auto" w:fill="622423" w:themeFill="accent2" w:themeFillShade="7F" w:val="clear"/>
      </w:tcPr>
    </w:tblStylePr>
    <w:tblStylePr w:type="firstCol">
      <w:tblPr/>
      <w:tcPr>
        <w:tcBorders>
          <w:top w:val="nil"/>
          <w:left w:val="nil"/>
          <w:bottom w:val="nil"/>
          <w:right w:color="FFFFFF" w:space="0" w:sz="18" w:themeColor="background1" w:val="single"/>
          <w:insideH w:val="nil"/>
          <w:insideV w:val="nil"/>
        </w:tcBorders>
        <w:shd w:color="auto" w:fill="943634" w:themeFill="accent2" w:themeFillShade="BF" w:val="clear"/>
      </w:tcPr>
    </w:tblStylePr>
    <w:tblStylePr w:type="lastCol">
      <w:tblPr/>
      <w:tcPr>
        <w:tcBorders>
          <w:top w:val="nil"/>
          <w:left w:color="FFFFFF" w:space="0" w:sz="18" w:themeColor="background1" w:val="single"/>
          <w:bottom w:val="nil"/>
          <w:right w:val="nil"/>
          <w:insideH w:val="nil"/>
          <w:insideV w:val="nil"/>
        </w:tcBorders>
        <w:shd w:color="auto" w:fill="943634" w:themeFill="accent2" w:themeFillShade="BF" w:val="clear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943634" w:themeFill="accent2" w:themeFillShade="BF" w:val="clear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943634" w:themeFill="accent2" w:themeFillShade="BF" w:val="clear"/>
      </w:tcPr>
    </w:tblStylePr>
  </w:style>
  <w:style w:styleId="DarkList-Accent3" w:type="table">
    <w:name w:val="Dark List Accent 3"/>
    <w:basedOn w:val="TableNormal"/>
    <w:uiPriority w:val="70"/>
    <w:rsid w:val="00CB0664"/>
    <w:pPr>
      <w:spacing w:after="0" w:line="240" w:lineRule="auto"/>
    </w:pPr>
    <w:rPr>
      <w:color w:themeColor="background1" w:val="FFFFFF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9BBB59" w:themeFill="accent3" w:val="clear"/>
    </w:tcPr>
    <w:tblStylePr w:type="firstRow">
      <w:rPr>
        <w:b/>
        <w:bCs/>
      </w:rPr>
      <w:tblPr/>
      <w:tcPr>
        <w:tcBorders>
          <w:top w:val="nil"/>
          <w:left w:val="nil"/>
          <w:bottom w:color="FFFFFF" w:space="0" w:sz="18" w:themeColor="background1" w:val="single"/>
          <w:right w:val="nil"/>
          <w:insideH w:val="nil"/>
          <w:insideV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val="nil"/>
          <w:bottom w:val="nil"/>
          <w:right w:val="nil"/>
          <w:insideH w:val="nil"/>
          <w:insideV w:val="nil"/>
        </w:tcBorders>
        <w:shd w:color="auto" w:fill="4E6128" w:themeFill="accent3" w:themeFillShade="7F" w:val="clear"/>
      </w:tcPr>
    </w:tblStylePr>
    <w:tblStylePr w:type="firstCol">
      <w:tblPr/>
      <w:tcPr>
        <w:tcBorders>
          <w:top w:val="nil"/>
          <w:left w:val="nil"/>
          <w:bottom w:val="nil"/>
          <w:right w:color="FFFFFF" w:space="0" w:sz="18" w:themeColor="background1" w:val="single"/>
          <w:insideH w:val="nil"/>
          <w:insideV w:val="nil"/>
        </w:tcBorders>
        <w:shd w:color="auto" w:fill="76923C" w:themeFill="accent3" w:themeFillShade="BF" w:val="clear"/>
      </w:tcPr>
    </w:tblStylePr>
    <w:tblStylePr w:type="lastCol">
      <w:tblPr/>
      <w:tcPr>
        <w:tcBorders>
          <w:top w:val="nil"/>
          <w:left w:color="FFFFFF" w:space="0" w:sz="18" w:themeColor="background1" w:val="single"/>
          <w:bottom w:val="nil"/>
          <w:right w:val="nil"/>
          <w:insideH w:val="nil"/>
          <w:insideV w:val="nil"/>
        </w:tcBorders>
        <w:shd w:color="auto" w:fill="76923C" w:themeFill="accent3" w:themeFillShade="BF" w:val="clear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76923C" w:themeFill="accent3" w:themeFillShade="BF" w:val="clear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76923C" w:themeFill="accent3" w:themeFillShade="BF" w:val="clear"/>
      </w:tcPr>
    </w:tblStylePr>
  </w:style>
  <w:style w:styleId="DarkList-Accent4" w:type="table">
    <w:name w:val="Dark List Accent 4"/>
    <w:basedOn w:val="TableNormal"/>
    <w:uiPriority w:val="70"/>
    <w:rsid w:val="00CB0664"/>
    <w:pPr>
      <w:spacing w:after="0" w:line="240" w:lineRule="auto"/>
    </w:pPr>
    <w:rPr>
      <w:color w:themeColor="background1" w:val="FFFFFF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8064A2" w:themeFill="accent4" w:val="clear"/>
    </w:tcPr>
    <w:tblStylePr w:type="firstRow">
      <w:rPr>
        <w:b/>
        <w:bCs/>
      </w:rPr>
      <w:tblPr/>
      <w:tcPr>
        <w:tcBorders>
          <w:top w:val="nil"/>
          <w:left w:val="nil"/>
          <w:bottom w:color="FFFFFF" w:space="0" w:sz="18" w:themeColor="background1" w:val="single"/>
          <w:right w:val="nil"/>
          <w:insideH w:val="nil"/>
          <w:insideV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val="nil"/>
          <w:bottom w:val="nil"/>
          <w:right w:val="nil"/>
          <w:insideH w:val="nil"/>
          <w:insideV w:val="nil"/>
        </w:tcBorders>
        <w:shd w:color="auto" w:fill="3F3151" w:themeFill="accent4" w:themeFillShade="7F" w:val="clear"/>
      </w:tcPr>
    </w:tblStylePr>
    <w:tblStylePr w:type="firstCol">
      <w:tblPr/>
      <w:tcPr>
        <w:tcBorders>
          <w:top w:val="nil"/>
          <w:left w:val="nil"/>
          <w:bottom w:val="nil"/>
          <w:right w:color="FFFFFF" w:space="0" w:sz="18" w:themeColor="background1" w:val="single"/>
          <w:insideH w:val="nil"/>
          <w:insideV w:val="nil"/>
        </w:tcBorders>
        <w:shd w:color="auto" w:fill="5F497A" w:themeFill="accent4" w:themeFillShade="BF" w:val="clear"/>
      </w:tcPr>
    </w:tblStylePr>
    <w:tblStylePr w:type="lastCol">
      <w:tblPr/>
      <w:tcPr>
        <w:tcBorders>
          <w:top w:val="nil"/>
          <w:left w:color="FFFFFF" w:space="0" w:sz="18" w:themeColor="background1" w:val="single"/>
          <w:bottom w:val="nil"/>
          <w:right w:val="nil"/>
          <w:insideH w:val="nil"/>
          <w:insideV w:val="nil"/>
        </w:tcBorders>
        <w:shd w:color="auto" w:fill="5F497A" w:themeFill="accent4" w:themeFillShade="BF" w:val="clear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5F497A" w:themeFill="accent4" w:themeFillShade="BF" w:val="clear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5F497A" w:themeFill="accent4" w:themeFillShade="BF" w:val="clear"/>
      </w:tcPr>
    </w:tblStylePr>
  </w:style>
  <w:style w:styleId="DarkList-Accent5" w:type="table">
    <w:name w:val="Dark List Accent 5"/>
    <w:basedOn w:val="TableNormal"/>
    <w:uiPriority w:val="70"/>
    <w:rsid w:val="00CB0664"/>
    <w:pPr>
      <w:spacing w:after="0" w:line="240" w:lineRule="auto"/>
    </w:pPr>
    <w:rPr>
      <w:color w:themeColor="background1" w:val="FFFFFF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4BACC6" w:themeFill="accent5" w:val="clear"/>
    </w:tcPr>
    <w:tblStylePr w:type="firstRow">
      <w:rPr>
        <w:b/>
        <w:bCs/>
      </w:rPr>
      <w:tblPr/>
      <w:tcPr>
        <w:tcBorders>
          <w:top w:val="nil"/>
          <w:left w:val="nil"/>
          <w:bottom w:color="FFFFFF" w:space="0" w:sz="18" w:themeColor="background1" w:val="single"/>
          <w:right w:val="nil"/>
          <w:insideH w:val="nil"/>
          <w:insideV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val="nil"/>
          <w:bottom w:val="nil"/>
          <w:right w:val="nil"/>
          <w:insideH w:val="nil"/>
          <w:insideV w:val="nil"/>
        </w:tcBorders>
        <w:shd w:color="auto" w:fill="205867" w:themeFill="accent5" w:themeFillShade="7F" w:val="clear"/>
      </w:tcPr>
    </w:tblStylePr>
    <w:tblStylePr w:type="firstCol">
      <w:tblPr/>
      <w:tcPr>
        <w:tcBorders>
          <w:top w:val="nil"/>
          <w:left w:val="nil"/>
          <w:bottom w:val="nil"/>
          <w:right w:color="FFFFFF" w:space="0" w:sz="18" w:themeColor="background1" w:val="single"/>
          <w:insideH w:val="nil"/>
          <w:insideV w:val="nil"/>
        </w:tcBorders>
        <w:shd w:color="auto" w:fill="31849B" w:themeFill="accent5" w:themeFillShade="BF" w:val="clear"/>
      </w:tcPr>
    </w:tblStylePr>
    <w:tblStylePr w:type="lastCol">
      <w:tblPr/>
      <w:tcPr>
        <w:tcBorders>
          <w:top w:val="nil"/>
          <w:left w:color="FFFFFF" w:space="0" w:sz="18" w:themeColor="background1" w:val="single"/>
          <w:bottom w:val="nil"/>
          <w:right w:val="nil"/>
          <w:insideH w:val="nil"/>
          <w:insideV w:val="nil"/>
        </w:tcBorders>
        <w:shd w:color="auto" w:fill="31849B" w:themeFill="accent5" w:themeFillShade="BF" w:val="clear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31849B" w:themeFill="accent5" w:themeFillShade="BF" w:val="clear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31849B" w:themeFill="accent5" w:themeFillShade="BF" w:val="clear"/>
      </w:tcPr>
    </w:tblStylePr>
  </w:style>
  <w:style w:styleId="DarkList-Accent6" w:type="table">
    <w:name w:val="Dark List Accent 6"/>
    <w:basedOn w:val="TableNormal"/>
    <w:uiPriority w:val="70"/>
    <w:rsid w:val="00CB0664"/>
    <w:pPr>
      <w:spacing w:after="0" w:line="240" w:lineRule="auto"/>
    </w:pPr>
    <w:rPr>
      <w:color w:themeColor="background1" w:val="FFFFFF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F79646" w:themeFill="accent6" w:val="clear"/>
    </w:tcPr>
    <w:tblStylePr w:type="firstRow">
      <w:rPr>
        <w:b/>
        <w:bCs/>
      </w:rPr>
      <w:tblPr/>
      <w:tcPr>
        <w:tcBorders>
          <w:top w:val="nil"/>
          <w:left w:val="nil"/>
          <w:bottom w:color="FFFFFF" w:space="0" w:sz="18" w:themeColor="background1" w:val="single"/>
          <w:right w:val="nil"/>
          <w:insideH w:val="nil"/>
          <w:insideV w:val="nil"/>
        </w:tcBorders>
        <w:shd w:color="auto" w:fill="000000" w:themeFill="text1" w:val="clear"/>
      </w:tcPr>
    </w:tblStylePr>
    <w:tblStylePr w:type="lastRow">
      <w:tblPr/>
      <w:tcPr>
        <w:tcBorders>
          <w:top w:color="FFFFFF" w:space="0" w:sz="18" w:themeColor="background1" w:val="single"/>
          <w:left w:val="nil"/>
          <w:bottom w:val="nil"/>
          <w:right w:val="nil"/>
          <w:insideH w:val="nil"/>
          <w:insideV w:val="nil"/>
        </w:tcBorders>
        <w:shd w:color="auto" w:fill="974706" w:themeFill="accent6" w:themeFillShade="7F" w:val="clear"/>
      </w:tcPr>
    </w:tblStylePr>
    <w:tblStylePr w:type="firstCol">
      <w:tblPr/>
      <w:tcPr>
        <w:tcBorders>
          <w:top w:val="nil"/>
          <w:left w:val="nil"/>
          <w:bottom w:val="nil"/>
          <w:right w:color="FFFFFF" w:space="0" w:sz="18" w:themeColor="background1" w:val="single"/>
          <w:insideH w:val="nil"/>
          <w:insideV w:val="nil"/>
        </w:tcBorders>
        <w:shd w:color="auto" w:fill="E36C0A" w:themeFill="accent6" w:themeFillShade="BF" w:val="clear"/>
      </w:tcPr>
    </w:tblStylePr>
    <w:tblStylePr w:type="lastCol">
      <w:tblPr/>
      <w:tcPr>
        <w:tcBorders>
          <w:top w:val="nil"/>
          <w:left w:color="FFFFFF" w:space="0" w:sz="18" w:themeColor="background1" w:val="single"/>
          <w:bottom w:val="nil"/>
          <w:right w:val="nil"/>
          <w:insideH w:val="nil"/>
          <w:insideV w:val="nil"/>
        </w:tcBorders>
        <w:shd w:color="auto" w:fill="E36C0A" w:themeFill="accent6" w:themeFillShade="BF" w:val="clear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E36C0A" w:themeFill="accent6" w:themeFillShade="BF" w:val="clear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E36C0A" w:themeFill="accent6" w:themeFillShade="BF" w:val="clear"/>
      </w:tcPr>
    </w:tblStylePr>
  </w:style>
  <w:style w:styleId="ColorfulShading" w:type="table">
    <w:name w:val="Colorful Shading"/>
    <w:basedOn w:val="TableNormal"/>
    <w:uiPriority w:val="71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C0504D" w:space="0" w:sz="24" w:themeColor="accent2" w:val="single"/>
        <w:left w:color="000000" w:space="0" w:sz="4" w:themeColor="text1" w:val="single"/>
        <w:bottom w:color="000000" w:space="0" w:sz="4" w:themeColor="text1" w:val="single"/>
        <w:right w:color="000000" w:space="0" w:sz="4" w:themeColor="text1" w:val="single"/>
        <w:insideH w:color="FFFFFF" w:space="0" w:sz="4" w:themeColor="background1" w:val="single"/>
        <w:insideV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6E6E6" w:themeFill="text1" w:themeFillTint="19" w:val="clear"/>
    </w:tcPr>
    <w:tblStylePr w:type="firstRow">
      <w:rPr>
        <w:b/>
        <w:bCs/>
      </w:rPr>
      <w:tblPr/>
      <w:tcPr>
        <w:tcBorders>
          <w:top w:val="nil"/>
          <w:left w:val="nil"/>
          <w:bottom w:color="C0504D" w:space="0" w:sz="24" w:themeColor="accent2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rPr>
        <w:b/>
        <w:bCs/>
        <w:color w:themeColor="background1" w:val="FFFFFF"/>
      </w:rPr>
      <w:tblPr/>
      <w:tcPr>
        <w:tcBorders>
          <w:top w:color="FFFFFF" w:space="0" w:sz="6" w:themeColor="background1" w:val="single"/>
        </w:tcBorders>
        <w:shd w:color="auto" w:fill="000000" w:themeFill="text1" w:themeFillShade="99" w:val="clear"/>
      </w:tcPr>
    </w:tblStylePr>
    <w:tblStylePr w:type="fir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color="000000" w:space="0" w:sz="4" w:themeColor="text1" w:themeShade="99" w:val="single"/>
          <w:insideV w:val="nil"/>
        </w:tcBorders>
        <w:shd w:color="auto" w:fill="000000" w:themeFill="text1" w:themeFillShade="99" w:val="clear"/>
      </w:tcPr>
    </w:tblStylePr>
    <w:tblStylePr w:type="la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000000" w:themeFill="text1" w:themeFillShade="BF" w:val="clear"/>
      </w:tcPr>
    </w:tblStylePr>
    <w:tblStylePr w:type="band1Vert">
      <w:tblPr/>
      <w:tcPr>
        <w:shd w:color="auto" w:fill="999999" w:themeFill="text1" w:themeFillTint="66" w:val="clear"/>
      </w:tcPr>
    </w:tblStylePr>
    <w:tblStylePr w:type="band1Horz">
      <w:tblPr/>
      <w:tcPr>
        <w:shd w:color="auto" w:fill="808080" w:themeFill="text1" w:themeFillTint="7F" w:val="clear"/>
      </w:tcPr>
    </w:tblStylePr>
    <w:tblStylePr w:type="neCell">
      <w:rPr>
        <w:color w:themeColor="text1" w:val="000000"/>
      </w:rPr>
    </w:tblStylePr>
    <w:tblStylePr w:type="nwCell">
      <w:rPr>
        <w:color w:themeColor="text1" w:val="000000"/>
      </w:rPr>
    </w:tblStylePr>
  </w:style>
  <w:style w:styleId="ColorfulShading-Accent1" w:type="table">
    <w:name w:val="Colorful Shading Accent 1"/>
    <w:basedOn w:val="TableNormal"/>
    <w:uiPriority w:val="71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C0504D" w:space="0" w:sz="24" w:themeColor="accent2" w:val="single"/>
        <w:left w:color="4F81BD" w:space="0" w:sz="4" w:themeColor="accent1" w:val="single"/>
        <w:bottom w:color="4F81BD" w:space="0" w:sz="4" w:themeColor="accent1" w:val="single"/>
        <w:right w:color="4F81BD" w:space="0" w:sz="4" w:themeColor="accent1" w:val="single"/>
        <w:insideH w:color="FFFFFF" w:space="0" w:sz="4" w:themeColor="background1" w:val="single"/>
        <w:insideV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DF2F8" w:themeFill="accent1" w:themeFillTint="19" w:val="clear"/>
    </w:tcPr>
    <w:tblStylePr w:type="firstRow">
      <w:rPr>
        <w:b/>
        <w:bCs/>
      </w:rPr>
      <w:tblPr/>
      <w:tcPr>
        <w:tcBorders>
          <w:top w:val="nil"/>
          <w:left w:val="nil"/>
          <w:bottom w:color="C0504D" w:space="0" w:sz="24" w:themeColor="accent2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rPr>
        <w:b/>
        <w:bCs/>
        <w:color w:themeColor="background1" w:val="FFFFFF"/>
      </w:rPr>
      <w:tblPr/>
      <w:tcPr>
        <w:tcBorders>
          <w:top w:color="FFFFFF" w:space="0" w:sz="6" w:themeColor="background1" w:val="single"/>
        </w:tcBorders>
        <w:shd w:color="auto" w:fill="2C4C74" w:themeFill="accent1" w:themeFillShade="99" w:val="clear"/>
      </w:tcPr>
    </w:tblStylePr>
    <w:tblStylePr w:type="fir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color="2C4C74" w:space="0" w:sz="4" w:themeColor="accent1" w:themeShade="99" w:val="single"/>
          <w:insideV w:val="nil"/>
        </w:tcBorders>
        <w:shd w:color="auto" w:fill="2C4C74" w:themeFill="accent1" w:themeFillShade="99" w:val="clear"/>
      </w:tcPr>
    </w:tblStylePr>
    <w:tblStylePr w:type="la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2C4C74" w:themeFill="accent1" w:themeFillShade="99" w:val="clear"/>
      </w:tcPr>
    </w:tblStylePr>
    <w:tblStylePr w:type="band1Vert">
      <w:tblPr/>
      <w:tcPr>
        <w:shd w:color="auto" w:fill="B8CCE4" w:themeFill="accent1" w:themeFillTint="66" w:val="clear"/>
      </w:tcPr>
    </w:tblStylePr>
    <w:tblStylePr w:type="band1Horz">
      <w:tblPr/>
      <w:tcPr>
        <w:shd w:color="auto" w:fill="A7BFDE" w:themeFill="accent1" w:themeFillTint="7F" w:val="clear"/>
      </w:tcPr>
    </w:tblStylePr>
    <w:tblStylePr w:type="neCell">
      <w:rPr>
        <w:color w:themeColor="text1" w:val="000000"/>
      </w:rPr>
    </w:tblStylePr>
    <w:tblStylePr w:type="nwCell">
      <w:rPr>
        <w:color w:themeColor="text1" w:val="000000"/>
      </w:rPr>
    </w:tblStylePr>
  </w:style>
  <w:style w:styleId="ColorfulShading-Accent2" w:type="table">
    <w:name w:val="Colorful Shading Accent 2"/>
    <w:basedOn w:val="TableNormal"/>
    <w:uiPriority w:val="71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C0504D" w:space="0" w:sz="24" w:themeColor="accent2" w:val="single"/>
        <w:left w:color="C0504D" w:space="0" w:sz="4" w:themeColor="accent2" w:val="single"/>
        <w:bottom w:color="C0504D" w:space="0" w:sz="4" w:themeColor="accent2" w:val="single"/>
        <w:right w:color="C0504D" w:space="0" w:sz="4" w:themeColor="accent2" w:val="single"/>
        <w:insideH w:color="FFFFFF" w:space="0" w:sz="4" w:themeColor="background1" w:val="single"/>
        <w:insideV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F8EDED" w:themeFill="accent2" w:themeFillTint="19" w:val="clear"/>
    </w:tcPr>
    <w:tblStylePr w:type="firstRow">
      <w:rPr>
        <w:b/>
        <w:bCs/>
      </w:rPr>
      <w:tblPr/>
      <w:tcPr>
        <w:tcBorders>
          <w:top w:val="nil"/>
          <w:left w:val="nil"/>
          <w:bottom w:color="C0504D" w:space="0" w:sz="24" w:themeColor="accent2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rPr>
        <w:b/>
        <w:bCs/>
        <w:color w:themeColor="background1" w:val="FFFFFF"/>
      </w:rPr>
      <w:tblPr/>
      <w:tcPr>
        <w:tcBorders>
          <w:top w:color="FFFFFF" w:space="0" w:sz="6" w:themeColor="background1" w:val="single"/>
        </w:tcBorders>
        <w:shd w:color="auto" w:fill="772C2A" w:themeFill="accent2" w:themeFillShade="99" w:val="clear"/>
      </w:tcPr>
    </w:tblStylePr>
    <w:tblStylePr w:type="fir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color="772C2A" w:space="0" w:sz="4" w:themeColor="accent2" w:themeShade="99" w:val="single"/>
          <w:insideV w:val="nil"/>
        </w:tcBorders>
        <w:shd w:color="auto" w:fill="772C2A" w:themeFill="accent2" w:themeFillShade="99" w:val="clear"/>
      </w:tcPr>
    </w:tblStylePr>
    <w:tblStylePr w:type="la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772C2A" w:themeFill="accent2" w:themeFillShade="99" w:val="clear"/>
      </w:tcPr>
    </w:tblStylePr>
    <w:tblStylePr w:type="band1Vert">
      <w:tblPr/>
      <w:tcPr>
        <w:shd w:color="auto" w:fill="E5B8B7" w:themeFill="accent2" w:themeFillTint="66" w:val="clear"/>
      </w:tcPr>
    </w:tblStylePr>
    <w:tblStylePr w:type="band1Horz">
      <w:tblPr/>
      <w:tcPr>
        <w:shd w:color="auto" w:fill="DFA7A6" w:themeFill="accent2" w:themeFillTint="7F" w:val="clear"/>
      </w:tcPr>
    </w:tblStylePr>
    <w:tblStylePr w:type="neCell">
      <w:rPr>
        <w:color w:themeColor="text1" w:val="000000"/>
      </w:rPr>
    </w:tblStylePr>
    <w:tblStylePr w:type="nwCell">
      <w:rPr>
        <w:color w:themeColor="text1" w:val="000000"/>
      </w:rPr>
    </w:tblStylePr>
  </w:style>
  <w:style w:styleId="ColorfulShading-Accent3" w:type="table">
    <w:name w:val="Colorful Shading Accent 3"/>
    <w:basedOn w:val="TableNormal"/>
    <w:uiPriority w:val="71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8064A2" w:space="0" w:sz="24" w:themeColor="accent4" w:val="single"/>
        <w:left w:color="9BBB59" w:space="0" w:sz="4" w:themeColor="accent3" w:val="single"/>
        <w:bottom w:color="9BBB59" w:space="0" w:sz="4" w:themeColor="accent3" w:val="single"/>
        <w:right w:color="9BBB59" w:space="0" w:sz="4" w:themeColor="accent3" w:val="single"/>
        <w:insideH w:color="FFFFFF" w:space="0" w:sz="4" w:themeColor="background1" w:val="single"/>
        <w:insideV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F5F8EE" w:themeFill="accent3" w:themeFillTint="19" w:val="clear"/>
    </w:tcPr>
    <w:tblStylePr w:type="firstRow">
      <w:rPr>
        <w:b/>
        <w:bCs/>
      </w:rPr>
      <w:tblPr/>
      <w:tcPr>
        <w:tcBorders>
          <w:top w:val="nil"/>
          <w:left w:val="nil"/>
          <w:bottom w:color="8064A2" w:space="0" w:sz="24" w:themeColor="accent4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rPr>
        <w:b/>
        <w:bCs/>
        <w:color w:themeColor="background1" w:val="FFFFFF"/>
      </w:rPr>
      <w:tblPr/>
      <w:tcPr>
        <w:tcBorders>
          <w:top w:color="FFFFFF" w:space="0" w:sz="6" w:themeColor="background1" w:val="single"/>
        </w:tcBorders>
        <w:shd w:color="auto" w:fill="5E7530" w:themeFill="accent3" w:themeFillShade="99" w:val="clear"/>
      </w:tcPr>
    </w:tblStylePr>
    <w:tblStylePr w:type="fir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color="5E7530" w:space="0" w:sz="4" w:themeColor="accent3" w:themeShade="99" w:val="single"/>
          <w:insideV w:val="nil"/>
        </w:tcBorders>
        <w:shd w:color="auto" w:fill="5E7530" w:themeFill="accent3" w:themeFillShade="99" w:val="clear"/>
      </w:tcPr>
    </w:tblStylePr>
    <w:tblStylePr w:type="la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5E7530" w:themeFill="accent3" w:themeFillShade="99" w:val="clear"/>
      </w:tcPr>
    </w:tblStylePr>
    <w:tblStylePr w:type="band1Vert">
      <w:tblPr/>
      <w:tcPr>
        <w:shd w:color="auto" w:fill="D6E3BC" w:themeFill="accent3" w:themeFillTint="66" w:val="clear"/>
      </w:tcPr>
    </w:tblStylePr>
    <w:tblStylePr w:type="band1Horz">
      <w:tblPr/>
      <w:tcPr>
        <w:shd w:color="auto" w:fill="CDDDAC" w:themeFill="accent3" w:themeFillTint="7F" w:val="clear"/>
      </w:tcPr>
    </w:tblStylePr>
  </w:style>
  <w:style w:styleId="ColorfulShading-Accent4" w:type="table">
    <w:name w:val="Colorful Shading Accent 4"/>
    <w:basedOn w:val="TableNormal"/>
    <w:uiPriority w:val="71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9BBB59" w:space="0" w:sz="24" w:themeColor="accent3" w:val="single"/>
        <w:left w:color="8064A2" w:space="0" w:sz="4" w:themeColor="accent4" w:val="single"/>
        <w:bottom w:color="8064A2" w:space="0" w:sz="4" w:themeColor="accent4" w:val="single"/>
        <w:right w:color="8064A2" w:space="0" w:sz="4" w:themeColor="accent4" w:val="single"/>
        <w:insideH w:color="FFFFFF" w:space="0" w:sz="4" w:themeColor="background1" w:val="single"/>
        <w:insideV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F2EFF6" w:themeFill="accent4" w:themeFillTint="19" w:val="clear"/>
    </w:tcPr>
    <w:tblStylePr w:type="firstRow">
      <w:rPr>
        <w:b/>
        <w:bCs/>
      </w:rPr>
      <w:tblPr/>
      <w:tcPr>
        <w:tcBorders>
          <w:top w:val="nil"/>
          <w:left w:val="nil"/>
          <w:bottom w:color="9BBB59" w:space="0" w:sz="24" w:themeColor="accent3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rPr>
        <w:b/>
        <w:bCs/>
        <w:color w:themeColor="background1" w:val="FFFFFF"/>
      </w:rPr>
      <w:tblPr/>
      <w:tcPr>
        <w:tcBorders>
          <w:top w:color="FFFFFF" w:space="0" w:sz="6" w:themeColor="background1" w:val="single"/>
        </w:tcBorders>
        <w:shd w:color="auto" w:fill="4C3B62" w:themeFill="accent4" w:themeFillShade="99" w:val="clear"/>
      </w:tcPr>
    </w:tblStylePr>
    <w:tblStylePr w:type="fir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color="4C3B62" w:space="0" w:sz="4" w:themeColor="accent4" w:themeShade="99" w:val="single"/>
          <w:insideV w:val="nil"/>
        </w:tcBorders>
        <w:shd w:color="auto" w:fill="4C3B62" w:themeFill="accent4" w:themeFillShade="99" w:val="clear"/>
      </w:tcPr>
    </w:tblStylePr>
    <w:tblStylePr w:type="la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4C3B62" w:themeFill="accent4" w:themeFillShade="99" w:val="clear"/>
      </w:tcPr>
    </w:tblStylePr>
    <w:tblStylePr w:type="band1Vert">
      <w:tblPr/>
      <w:tcPr>
        <w:shd w:color="auto" w:fill="CCC0D9" w:themeFill="accent4" w:themeFillTint="66" w:val="clear"/>
      </w:tcPr>
    </w:tblStylePr>
    <w:tblStylePr w:type="band1Horz">
      <w:tblPr/>
      <w:tcPr>
        <w:shd w:color="auto" w:fill="BFB1D0" w:themeFill="accent4" w:themeFillTint="7F" w:val="clear"/>
      </w:tcPr>
    </w:tblStylePr>
    <w:tblStylePr w:type="neCell">
      <w:rPr>
        <w:color w:themeColor="text1" w:val="000000"/>
      </w:rPr>
    </w:tblStylePr>
    <w:tblStylePr w:type="nwCell">
      <w:rPr>
        <w:color w:themeColor="text1" w:val="000000"/>
      </w:rPr>
    </w:tblStylePr>
  </w:style>
  <w:style w:styleId="ColorfulShading-Accent5" w:type="table">
    <w:name w:val="Colorful Shading Accent 5"/>
    <w:basedOn w:val="TableNormal"/>
    <w:uiPriority w:val="71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F79646" w:space="0" w:sz="24" w:themeColor="accent6" w:val="single"/>
        <w:left w:color="4BACC6" w:space="0" w:sz="4" w:themeColor="accent5" w:val="single"/>
        <w:bottom w:color="4BACC6" w:space="0" w:sz="4" w:themeColor="accent5" w:val="single"/>
        <w:right w:color="4BACC6" w:space="0" w:sz="4" w:themeColor="accent5" w:val="single"/>
        <w:insideH w:color="FFFFFF" w:space="0" w:sz="4" w:themeColor="background1" w:val="single"/>
        <w:insideV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DF6F9" w:themeFill="accent5" w:themeFillTint="19" w:val="clear"/>
    </w:tcPr>
    <w:tblStylePr w:type="firstRow">
      <w:rPr>
        <w:b/>
        <w:bCs/>
      </w:rPr>
      <w:tblPr/>
      <w:tcPr>
        <w:tcBorders>
          <w:top w:val="nil"/>
          <w:left w:val="nil"/>
          <w:bottom w:color="F79646" w:space="0" w:sz="24" w:themeColor="accent6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rPr>
        <w:b/>
        <w:bCs/>
        <w:color w:themeColor="background1" w:val="FFFFFF"/>
      </w:rPr>
      <w:tblPr/>
      <w:tcPr>
        <w:tcBorders>
          <w:top w:color="FFFFFF" w:space="0" w:sz="6" w:themeColor="background1" w:val="single"/>
        </w:tcBorders>
        <w:shd w:color="auto" w:fill="276A7C" w:themeFill="accent5" w:themeFillShade="99" w:val="clear"/>
      </w:tcPr>
    </w:tblStylePr>
    <w:tblStylePr w:type="fir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color="276A7C" w:space="0" w:sz="4" w:themeColor="accent5" w:themeShade="99" w:val="single"/>
          <w:insideV w:val="nil"/>
        </w:tcBorders>
        <w:shd w:color="auto" w:fill="276A7C" w:themeFill="accent5" w:themeFillShade="99" w:val="clear"/>
      </w:tcPr>
    </w:tblStylePr>
    <w:tblStylePr w:type="la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276A7C" w:themeFill="accent5" w:themeFillShade="99" w:val="clear"/>
      </w:tcPr>
    </w:tblStylePr>
    <w:tblStylePr w:type="band1Vert">
      <w:tblPr/>
      <w:tcPr>
        <w:shd w:color="auto" w:fill="B6DDE8" w:themeFill="accent5" w:themeFillTint="66" w:val="clear"/>
      </w:tcPr>
    </w:tblStylePr>
    <w:tblStylePr w:type="band1Horz">
      <w:tblPr/>
      <w:tcPr>
        <w:shd w:color="auto" w:fill="A5D5E2" w:themeFill="accent5" w:themeFillTint="7F" w:val="clear"/>
      </w:tcPr>
    </w:tblStylePr>
    <w:tblStylePr w:type="neCell">
      <w:rPr>
        <w:color w:themeColor="text1" w:val="000000"/>
      </w:rPr>
    </w:tblStylePr>
    <w:tblStylePr w:type="nwCell">
      <w:rPr>
        <w:color w:themeColor="text1" w:val="000000"/>
      </w:rPr>
    </w:tblStylePr>
  </w:style>
  <w:style w:styleId="ColorfulShading-Accent6" w:type="table">
    <w:name w:val="Colorful Shading Accent 6"/>
    <w:basedOn w:val="TableNormal"/>
    <w:uiPriority w:val="71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top w:color="4BACC6" w:space="0" w:sz="24" w:themeColor="accent5" w:val="single"/>
        <w:left w:color="F79646" w:space="0" w:sz="4" w:themeColor="accent6" w:val="single"/>
        <w:bottom w:color="F79646" w:space="0" w:sz="4" w:themeColor="accent6" w:val="single"/>
        <w:right w:color="F79646" w:space="0" w:sz="4" w:themeColor="accent6" w:val="single"/>
        <w:insideH w:color="FFFFFF" w:space="0" w:sz="4" w:themeColor="background1" w:val="single"/>
        <w:insideV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FEF4EC" w:themeFill="accent6" w:themeFillTint="19" w:val="clear"/>
    </w:tcPr>
    <w:tblStylePr w:type="firstRow">
      <w:rPr>
        <w:b/>
        <w:bCs/>
      </w:rPr>
      <w:tblPr/>
      <w:tcPr>
        <w:tcBorders>
          <w:top w:val="nil"/>
          <w:left w:val="nil"/>
          <w:bottom w:color="4BACC6" w:space="0" w:sz="24" w:themeColor="accent5" w:val="single"/>
          <w:right w:val="nil"/>
          <w:insideH w:val="nil"/>
          <w:insideV w:val="nil"/>
        </w:tcBorders>
        <w:shd w:color="auto" w:fill="FFFFFF" w:themeFill="background1" w:val="clear"/>
      </w:tcPr>
    </w:tblStylePr>
    <w:tblStylePr w:type="lastRow">
      <w:rPr>
        <w:b/>
        <w:bCs/>
        <w:color w:themeColor="background1" w:val="FFFFFF"/>
      </w:rPr>
      <w:tblPr/>
      <w:tcPr>
        <w:tcBorders>
          <w:top w:color="FFFFFF" w:space="0" w:sz="6" w:themeColor="background1" w:val="single"/>
        </w:tcBorders>
        <w:shd w:color="auto" w:fill="B65608" w:themeFill="accent6" w:themeFillShade="99" w:val="clear"/>
      </w:tcPr>
    </w:tblStylePr>
    <w:tblStylePr w:type="fir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color="B65608" w:space="0" w:sz="4" w:themeColor="accent6" w:themeShade="99" w:val="single"/>
          <w:insideV w:val="nil"/>
        </w:tcBorders>
        <w:shd w:color="auto" w:fill="B65608" w:themeFill="accent6" w:themeFillShade="99" w:val="clear"/>
      </w:tcPr>
    </w:tblStylePr>
    <w:tblStylePr w:type="lastCol">
      <w:rPr>
        <w:color w:themeColor="background1"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B65608" w:themeFill="accent6" w:themeFillShade="99" w:val="clear"/>
      </w:tcPr>
    </w:tblStylePr>
    <w:tblStylePr w:type="band1Vert">
      <w:tblPr/>
      <w:tcPr>
        <w:shd w:color="auto" w:fill="FBD4B4" w:themeFill="accent6" w:themeFillTint="66" w:val="clear"/>
      </w:tcPr>
    </w:tblStylePr>
    <w:tblStylePr w:type="band1Horz">
      <w:tblPr/>
      <w:tcPr>
        <w:shd w:color="auto" w:fill="FBCAA2" w:themeFill="accent6" w:themeFillTint="7F" w:val="clear"/>
      </w:tcPr>
    </w:tblStylePr>
    <w:tblStylePr w:type="neCell">
      <w:rPr>
        <w:color w:themeColor="text1" w:val="000000"/>
      </w:rPr>
    </w:tblStylePr>
    <w:tblStylePr w:type="nwCell">
      <w:rPr>
        <w:color w:themeColor="text1" w:val="000000"/>
      </w:rPr>
    </w:tblStylePr>
  </w:style>
  <w:style w:styleId="ColorfulList" w:type="table">
    <w:name w:val="Colorful List"/>
    <w:basedOn w:val="TableNormal"/>
    <w:uiPriority w:val="72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E6E6E6" w:themeFill="text1" w:themeFillTint="19" w:val="clear"/>
    </w:tcPr>
    <w:tblStylePr w:type="firstRow">
      <w:rPr>
        <w:b/>
        <w:bCs/>
        <w:color w:themeColor="background1" w:val="FFFFFF"/>
      </w:rPr>
      <w:tblPr/>
      <w:tcPr>
        <w:tcBorders>
          <w:bottom w:color="FFFFFF" w:space="0" w:sz="12" w:themeColor="background1" w:val="single"/>
        </w:tcBorders>
        <w:shd w:color="auto" w:fill="9E3A38" w:themeFill="accent2" w:themeFillShade="CC" w:val="clear"/>
      </w:tcPr>
    </w:tblStylePr>
    <w:tblStylePr w:type="lastRow">
      <w:rPr>
        <w:b/>
        <w:bCs/>
        <w:color w:themeColor="accent2" w:themeShade="CC" w:val="9E3A38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C0C0C0" w:themeFill="text1" w:themeFillTint="3F" w:val="clear"/>
      </w:tcPr>
    </w:tblStylePr>
    <w:tblStylePr w:type="band1Horz">
      <w:tblPr/>
      <w:tcPr>
        <w:shd w:color="auto" w:fill="CCCCCC" w:themeFill="text1" w:themeFillTint="33" w:val="clear"/>
      </w:tcPr>
    </w:tblStylePr>
  </w:style>
  <w:style w:styleId="ColorfulList-Accent1" w:type="table">
    <w:name w:val="Colorful List Accent 1"/>
    <w:basedOn w:val="TableNormal"/>
    <w:uiPriority w:val="72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EDF2F8" w:themeFill="accent1" w:themeFillTint="19" w:val="clear"/>
    </w:tcPr>
    <w:tblStylePr w:type="firstRow">
      <w:rPr>
        <w:b/>
        <w:bCs/>
        <w:color w:themeColor="background1" w:val="FFFFFF"/>
      </w:rPr>
      <w:tblPr/>
      <w:tcPr>
        <w:tcBorders>
          <w:bottom w:color="FFFFFF" w:space="0" w:sz="12" w:themeColor="background1" w:val="single"/>
        </w:tcBorders>
        <w:shd w:color="auto" w:fill="9E3A38" w:themeFill="accent2" w:themeFillShade="CC" w:val="clear"/>
      </w:tcPr>
    </w:tblStylePr>
    <w:tblStylePr w:type="lastRow">
      <w:rPr>
        <w:b/>
        <w:bCs/>
        <w:color w:themeColor="accent2" w:themeShade="CC" w:val="9E3A38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D3DFEE" w:themeFill="accent1" w:themeFillTint="3F" w:val="clear"/>
      </w:tcPr>
    </w:tblStylePr>
    <w:tblStylePr w:type="band1Horz">
      <w:tblPr/>
      <w:tcPr>
        <w:shd w:color="auto" w:fill="DBE5F1" w:themeFill="accent1" w:themeFillTint="33" w:val="clear"/>
      </w:tcPr>
    </w:tblStylePr>
  </w:style>
  <w:style w:styleId="ColorfulList-Accent2" w:type="table">
    <w:name w:val="Colorful List Accent 2"/>
    <w:basedOn w:val="TableNormal"/>
    <w:uiPriority w:val="72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F8EDED" w:themeFill="accent2" w:themeFillTint="19" w:val="clear"/>
    </w:tcPr>
    <w:tblStylePr w:type="firstRow">
      <w:rPr>
        <w:b/>
        <w:bCs/>
        <w:color w:themeColor="background1" w:val="FFFFFF"/>
      </w:rPr>
      <w:tblPr/>
      <w:tcPr>
        <w:tcBorders>
          <w:bottom w:color="FFFFFF" w:space="0" w:sz="12" w:themeColor="background1" w:val="single"/>
        </w:tcBorders>
        <w:shd w:color="auto" w:fill="9E3A38" w:themeFill="accent2" w:themeFillShade="CC" w:val="clear"/>
      </w:tcPr>
    </w:tblStylePr>
    <w:tblStylePr w:type="lastRow">
      <w:rPr>
        <w:b/>
        <w:bCs/>
        <w:color w:themeColor="accent2" w:themeShade="CC" w:val="9E3A38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EFD3D2" w:themeFill="accent2" w:themeFillTint="3F" w:val="clear"/>
      </w:tcPr>
    </w:tblStylePr>
    <w:tblStylePr w:type="band1Horz">
      <w:tblPr/>
      <w:tcPr>
        <w:shd w:color="auto" w:fill="F2DBDB" w:themeFill="accent2" w:themeFillTint="33" w:val="clear"/>
      </w:tcPr>
    </w:tblStylePr>
  </w:style>
  <w:style w:styleId="ColorfulList-Accent3" w:type="table">
    <w:name w:val="Colorful List Accent 3"/>
    <w:basedOn w:val="TableNormal"/>
    <w:uiPriority w:val="72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F5F8EE" w:themeFill="accent3" w:themeFillTint="19" w:val="clear"/>
    </w:tcPr>
    <w:tblStylePr w:type="firstRow">
      <w:rPr>
        <w:b/>
        <w:bCs/>
        <w:color w:themeColor="background1" w:val="FFFFFF"/>
      </w:rPr>
      <w:tblPr/>
      <w:tcPr>
        <w:tcBorders>
          <w:bottom w:color="FFFFFF" w:space="0" w:sz="12" w:themeColor="background1" w:val="single"/>
        </w:tcBorders>
        <w:shd w:color="auto" w:fill="664E82" w:themeFill="accent4" w:themeFillShade="CC" w:val="clear"/>
      </w:tcPr>
    </w:tblStylePr>
    <w:tblStylePr w:type="lastRow">
      <w:rPr>
        <w:b/>
        <w:bCs/>
        <w:color w:themeColor="accent4" w:themeShade="CC" w:val="664E82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E6EED5" w:themeFill="accent3" w:themeFillTint="3F" w:val="clear"/>
      </w:tcPr>
    </w:tblStylePr>
    <w:tblStylePr w:type="band1Horz">
      <w:tblPr/>
      <w:tcPr>
        <w:shd w:color="auto" w:fill="EAF1DD" w:themeFill="accent3" w:themeFillTint="33" w:val="clear"/>
      </w:tcPr>
    </w:tblStylePr>
  </w:style>
  <w:style w:styleId="ColorfulList-Accent4" w:type="table">
    <w:name w:val="Colorful List Accent 4"/>
    <w:basedOn w:val="TableNormal"/>
    <w:uiPriority w:val="72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F2EFF6" w:themeFill="accent4" w:themeFillTint="19" w:val="clear"/>
    </w:tcPr>
    <w:tblStylePr w:type="firstRow">
      <w:rPr>
        <w:b/>
        <w:bCs/>
        <w:color w:themeColor="background1" w:val="FFFFFF"/>
      </w:rPr>
      <w:tblPr/>
      <w:tcPr>
        <w:tcBorders>
          <w:bottom w:color="FFFFFF" w:space="0" w:sz="12" w:themeColor="background1" w:val="single"/>
        </w:tcBorders>
        <w:shd w:color="auto" w:fill="7E9C40" w:themeFill="accent3" w:themeFillShade="CC" w:val="clear"/>
      </w:tcPr>
    </w:tblStylePr>
    <w:tblStylePr w:type="lastRow">
      <w:rPr>
        <w:b/>
        <w:bCs/>
        <w:color w:themeColor="accent3" w:themeShade="CC" w:val="7E9C40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DFD8E8" w:themeFill="accent4" w:themeFillTint="3F" w:val="clear"/>
      </w:tcPr>
    </w:tblStylePr>
    <w:tblStylePr w:type="band1Horz">
      <w:tblPr/>
      <w:tcPr>
        <w:shd w:color="auto" w:fill="E5DFEC" w:themeFill="accent4" w:themeFillTint="33" w:val="clear"/>
      </w:tcPr>
    </w:tblStylePr>
  </w:style>
  <w:style w:styleId="ColorfulList-Accent5" w:type="table">
    <w:name w:val="Colorful List Accent 5"/>
    <w:basedOn w:val="TableNormal"/>
    <w:uiPriority w:val="72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EDF6F9" w:themeFill="accent5" w:themeFillTint="19" w:val="clear"/>
    </w:tcPr>
    <w:tblStylePr w:type="firstRow">
      <w:rPr>
        <w:b/>
        <w:bCs/>
        <w:color w:themeColor="background1" w:val="FFFFFF"/>
      </w:rPr>
      <w:tblPr/>
      <w:tcPr>
        <w:tcBorders>
          <w:bottom w:color="FFFFFF" w:space="0" w:sz="12" w:themeColor="background1" w:val="single"/>
        </w:tcBorders>
        <w:shd w:color="auto" w:fill="F2730A" w:themeFill="accent6" w:themeFillShade="CC" w:val="clear"/>
      </w:tcPr>
    </w:tblStylePr>
    <w:tblStylePr w:type="lastRow">
      <w:rPr>
        <w:b/>
        <w:bCs/>
        <w:color w:themeColor="accent6" w:themeShade="CC" w:val="F2730A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D2EAF1" w:themeFill="accent5" w:themeFillTint="3F" w:val="clear"/>
      </w:tcPr>
    </w:tblStylePr>
    <w:tblStylePr w:type="band1Horz">
      <w:tblPr/>
      <w:tcPr>
        <w:shd w:color="auto" w:fill="DAEEF3" w:themeFill="accent5" w:themeFillTint="33" w:val="clear"/>
      </w:tcPr>
    </w:tblStylePr>
  </w:style>
  <w:style w:styleId="ColorfulList-Accent6" w:type="table">
    <w:name w:val="Colorful List Accent 6"/>
    <w:basedOn w:val="TableNormal"/>
    <w:uiPriority w:val="72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CellMar>
        <w:top w:type="dxa" w:w="0"/>
        <w:left w:type="dxa" w:w="108"/>
        <w:bottom w:type="dxa" w:w="0"/>
        <w:right w:type="dxa" w:w="108"/>
      </w:tblCellMar>
    </w:tblPr>
    <w:tcPr>
      <w:shd w:color="auto" w:fill="FEF4EC" w:themeFill="accent6" w:themeFillTint="19" w:val="clear"/>
    </w:tcPr>
    <w:tblStylePr w:type="firstRow">
      <w:rPr>
        <w:b/>
        <w:bCs/>
        <w:color w:themeColor="background1" w:val="FFFFFF"/>
      </w:rPr>
      <w:tblPr/>
      <w:tcPr>
        <w:tcBorders>
          <w:bottom w:color="FFFFFF" w:space="0" w:sz="12" w:themeColor="background1" w:val="single"/>
        </w:tcBorders>
        <w:shd w:color="auto" w:fill="348DA5" w:themeFill="accent5" w:themeFillShade="CC" w:val="clear"/>
      </w:tcPr>
    </w:tblStylePr>
    <w:tblStylePr w:type="lastRow">
      <w:rPr>
        <w:b/>
        <w:bCs/>
        <w:color w:themeColor="accent5" w:themeShade="CC" w:val="348DA5"/>
      </w:rPr>
      <w:tblPr/>
      <w:tcPr>
        <w:tcBorders>
          <w:top w:color="000000" w:space="0" w:sz="12" w:themeColor="text1" w:val="single"/>
        </w:tcBorders>
        <w:shd w:color="auto" w:fill="FFFFFF" w:themeFill="background1" w:val="clear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color="auto" w:fill="FDE4D0" w:themeFill="accent6" w:themeFillTint="3F" w:val="clear"/>
      </w:tcPr>
    </w:tblStylePr>
    <w:tblStylePr w:type="band1Horz">
      <w:tblPr/>
      <w:tcPr>
        <w:shd w:color="auto" w:fill="FDE9D9" w:themeFill="accent6" w:themeFillTint="33" w:val="clear"/>
      </w:tcPr>
    </w:tblStylePr>
  </w:style>
  <w:style w:styleId="ColorfulGrid" w:type="table">
    <w:name w:val="Colorful Grid"/>
    <w:basedOn w:val="TableNormal"/>
    <w:uiPriority w:val="73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insideH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CCCCCC" w:themeFill="text1" w:themeFillTint="33" w:val="clear"/>
    </w:tcPr>
    <w:tblStylePr w:type="firstRow">
      <w:rPr>
        <w:b/>
        <w:bCs/>
      </w:rPr>
      <w:tblPr/>
      <w:tcPr>
        <w:shd w:color="auto" w:fill="999999" w:themeFill="text1" w:themeFillTint="66" w:val="clear"/>
      </w:tcPr>
    </w:tblStylePr>
    <w:tblStylePr w:type="lastRow">
      <w:rPr>
        <w:b/>
        <w:bCs/>
        <w:color w:themeColor="text1" w:val="000000"/>
      </w:rPr>
      <w:tblPr/>
      <w:tcPr>
        <w:shd w:color="auto" w:fill="999999" w:themeFill="text1" w:themeFillTint="66" w:val="clear"/>
      </w:tcPr>
    </w:tblStylePr>
    <w:tblStylePr w:type="firstCol">
      <w:rPr>
        <w:color w:themeColor="background1" w:val="FFFFFF"/>
      </w:rPr>
      <w:tblPr/>
      <w:tcPr>
        <w:shd w:color="auto" w:fill="000000" w:themeFill="text1" w:themeFillShade="BF" w:val="clear"/>
      </w:tcPr>
    </w:tblStylePr>
    <w:tblStylePr w:type="lastCol">
      <w:rPr>
        <w:color w:themeColor="background1" w:val="FFFFFF"/>
      </w:rPr>
      <w:tblPr/>
      <w:tcPr>
        <w:shd w:color="auto" w:fill="000000" w:themeFill="text1" w:themeFillShade="BF" w:val="clear"/>
      </w:tcPr>
    </w:tblStylePr>
    <w:tblStylePr w:type="band1Vert">
      <w:tblPr/>
      <w:tcPr>
        <w:shd w:color="auto" w:fill="808080" w:themeFill="text1" w:themeFillTint="7F" w:val="clear"/>
      </w:tcPr>
    </w:tblStylePr>
    <w:tblStylePr w:type="band1Horz">
      <w:tblPr/>
      <w:tcPr>
        <w:shd w:color="auto" w:fill="808080" w:themeFill="text1" w:themeFillTint="7F" w:val="clear"/>
      </w:tcPr>
    </w:tblStylePr>
  </w:style>
  <w:style w:styleId="ColorfulGrid-Accent1" w:type="table">
    <w:name w:val="Colorful Grid Accent 1"/>
    <w:basedOn w:val="TableNormal"/>
    <w:uiPriority w:val="73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insideH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BE5F1" w:themeFill="accent1" w:themeFillTint="33" w:val="clear"/>
    </w:tcPr>
    <w:tblStylePr w:type="firstRow">
      <w:rPr>
        <w:b/>
        <w:bCs/>
      </w:rPr>
      <w:tblPr/>
      <w:tcPr>
        <w:shd w:color="auto" w:fill="B8CCE4" w:themeFill="accent1" w:themeFillTint="66" w:val="clear"/>
      </w:tcPr>
    </w:tblStylePr>
    <w:tblStylePr w:type="lastRow">
      <w:rPr>
        <w:b/>
        <w:bCs/>
        <w:color w:themeColor="text1" w:val="000000"/>
      </w:rPr>
      <w:tblPr/>
      <w:tcPr>
        <w:shd w:color="auto" w:fill="B8CCE4" w:themeFill="accent1" w:themeFillTint="66" w:val="clear"/>
      </w:tcPr>
    </w:tblStylePr>
    <w:tblStylePr w:type="firstCol">
      <w:rPr>
        <w:color w:themeColor="background1" w:val="FFFFFF"/>
      </w:rPr>
      <w:tblPr/>
      <w:tcPr>
        <w:shd w:color="auto" w:fill="365F91" w:themeFill="accent1" w:themeFillShade="BF" w:val="clear"/>
      </w:tcPr>
    </w:tblStylePr>
    <w:tblStylePr w:type="lastCol">
      <w:rPr>
        <w:color w:themeColor="background1" w:val="FFFFFF"/>
      </w:rPr>
      <w:tblPr/>
      <w:tcPr>
        <w:shd w:color="auto" w:fill="365F91" w:themeFill="accent1" w:themeFillShade="BF" w:val="clear"/>
      </w:tcPr>
    </w:tblStylePr>
    <w:tblStylePr w:type="band1Vert">
      <w:tblPr/>
      <w:tcPr>
        <w:shd w:color="auto" w:fill="A7BFDE" w:themeFill="accent1" w:themeFillTint="7F" w:val="clear"/>
      </w:tcPr>
    </w:tblStylePr>
    <w:tblStylePr w:type="band1Horz">
      <w:tblPr/>
      <w:tcPr>
        <w:shd w:color="auto" w:fill="A7BFDE" w:themeFill="accent1" w:themeFillTint="7F" w:val="clear"/>
      </w:tcPr>
    </w:tblStylePr>
  </w:style>
  <w:style w:styleId="ColorfulGrid-Accent2" w:type="table">
    <w:name w:val="Colorful Grid Accent 2"/>
    <w:basedOn w:val="TableNormal"/>
    <w:uiPriority w:val="73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insideH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F2DBDB" w:themeFill="accent2" w:themeFillTint="33" w:val="clear"/>
    </w:tcPr>
    <w:tblStylePr w:type="firstRow">
      <w:rPr>
        <w:b/>
        <w:bCs/>
      </w:rPr>
      <w:tblPr/>
      <w:tcPr>
        <w:shd w:color="auto" w:fill="E5B8B7" w:themeFill="accent2" w:themeFillTint="66" w:val="clear"/>
      </w:tcPr>
    </w:tblStylePr>
    <w:tblStylePr w:type="lastRow">
      <w:rPr>
        <w:b/>
        <w:bCs/>
        <w:color w:themeColor="text1" w:val="000000"/>
      </w:rPr>
      <w:tblPr/>
      <w:tcPr>
        <w:shd w:color="auto" w:fill="E5B8B7" w:themeFill="accent2" w:themeFillTint="66" w:val="clear"/>
      </w:tcPr>
    </w:tblStylePr>
    <w:tblStylePr w:type="firstCol">
      <w:rPr>
        <w:color w:themeColor="background1" w:val="FFFFFF"/>
      </w:rPr>
      <w:tblPr/>
      <w:tcPr>
        <w:shd w:color="auto" w:fill="943634" w:themeFill="accent2" w:themeFillShade="BF" w:val="clear"/>
      </w:tcPr>
    </w:tblStylePr>
    <w:tblStylePr w:type="lastCol">
      <w:rPr>
        <w:color w:themeColor="background1" w:val="FFFFFF"/>
      </w:rPr>
      <w:tblPr/>
      <w:tcPr>
        <w:shd w:color="auto" w:fill="943634" w:themeFill="accent2" w:themeFillShade="BF" w:val="clear"/>
      </w:tcPr>
    </w:tblStylePr>
    <w:tblStylePr w:type="band1Vert">
      <w:tblPr/>
      <w:tcPr>
        <w:shd w:color="auto" w:fill="DFA7A6" w:themeFill="accent2" w:themeFillTint="7F" w:val="clear"/>
      </w:tcPr>
    </w:tblStylePr>
    <w:tblStylePr w:type="band1Horz">
      <w:tblPr/>
      <w:tcPr>
        <w:shd w:color="auto" w:fill="DFA7A6" w:themeFill="accent2" w:themeFillTint="7F" w:val="clear"/>
      </w:tcPr>
    </w:tblStylePr>
  </w:style>
  <w:style w:styleId="ColorfulGrid-Accent3" w:type="table">
    <w:name w:val="Colorful Grid Accent 3"/>
    <w:basedOn w:val="TableNormal"/>
    <w:uiPriority w:val="73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insideH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AF1DD" w:themeFill="accent3" w:themeFillTint="33" w:val="clear"/>
    </w:tcPr>
    <w:tblStylePr w:type="firstRow">
      <w:rPr>
        <w:b/>
        <w:bCs/>
      </w:rPr>
      <w:tblPr/>
      <w:tcPr>
        <w:shd w:color="auto" w:fill="D6E3BC" w:themeFill="accent3" w:themeFillTint="66" w:val="clear"/>
      </w:tcPr>
    </w:tblStylePr>
    <w:tblStylePr w:type="lastRow">
      <w:rPr>
        <w:b/>
        <w:bCs/>
        <w:color w:themeColor="text1" w:val="000000"/>
      </w:rPr>
      <w:tblPr/>
      <w:tcPr>
        <w:shd w:color="auto" w:fill="D6E3BC" w:themeFill="accent3" w:themeFillTint="66" w:val="clear"/>
      </w:tcPr>
    </w:tblStylePr>
    <w:tblStylePr w:type="firstCol">
      <w:rPr>
        <w:color w:themeColor="background1" w:val="FFFFFF"/>
      </w:rPr>
      <w:tblPr/>
      <w:tcPr>
        <w:shd w:color="auto" w:fill="76923C" w:themeFill="accent3" w:themeFillShade="BF" w:val="clear"/>
      </w:tcPr>
    </w:tblStylePr>
    <w:tblStylePr w:type="lastCol">
      <w:rPr>
        <w:color w:themeColor="background1" w:val="FFFFFF"/>
      </w:rPr>
      <w:tblPr/>
      <w:tcPr>
        <w:shd w:color="auto" w:fill="76923C" w:themeFill="accent3" w:themeFillShade="BF" w:val="clear"/>
      </w:tcPr>
    </w:tblStylePr>
    <w:tblStylePr w:type="band1Vert">
      <w:tblPr/>
      <w:tcPr>
        <w:shd w:color="auto" w:fill="CDDDAC" w:themeFill="accent3" w:themeFillTint="7F" w:val="clear"/>
      </w:tcPr>
    </w:tblStylePr>
    <w:tblStylePr w:type="band1Horz">
      <w:tblPr/>
      <w:tcPr>
        <w:shd w:color="auto" w:fill="CDDDAC" w:themeFill="accent3" w:themeFillTint="7F" w:val="clear"/>
      </w:tcPr>
    </w:tblStylePr>
  </w:style>
  <w:style w:styleId="ColorfulGrid-Accent4" w:type="table">
    <w:name w:val="Colorful Grid Accent 4"/>
    <w:basedOn w:val="TableNormal"/>
    <w:uiPriority w:val="73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insideH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E5DFEC" w:themeFill="accent4" w:themeFillTint="33" w:val="clear"/>
    </w:tcPr>
    <w:tblStylePr w:type="firstRow">
      <w:rPr>
        <w:b/>
        <w:bCs/>
      </w:rPr>
      <w:tblPr/>
      <w:tcPr>
        <w:shd w:color="auto" w:fill="CCC0D9" w:themeFill="accent4" w:themeFillTint="66" w:val="clear"/>
      </w:tcPr>
    </w:tblStylePr>
    <w:tblStylePr w:type="lastRow">
      <w:rPr>
        <w:b/>
        <w:bCs/>
        <w:color w:themeColor="text1" w:val="000000"/>
      </w:rPr>
      <w:tblPr/>
      <w:tcPr>
        <w:shd w:color="auto" w:fill="CCC0D9" w:themeFill="accent4" w:themeFillTint="66" w:val="clear"/>
      </w:tcPr>
    </w:tblStylePr>
    <w:tblStylePr w:type="firstCol">
      <w:rPr>
        <w:color w:themeColor="background1" w:val="FFFFFF"/>
      </w:rPr>
      <w:tblPr/>
      <w:tcPr>
        <w:shd w:color="auto" w:fill="5F497A" w:themeFill="accent4" w:themeFillShade="BF" w:val="clear"/>
      </w:tcPr>
    </w:tblStylePr>
    <w:tblStylePr w:type="lastCol">
      <w:rPr>
        <w:color w:themeColor="background1" w:val="FFFFFF"/>
      </w:rPr>
      <w:tblPr/>
      <w:tcPr>
        <w:shd w:color="auto" w:fill="5F497A" w:themeFill="accent4" w:themeFillShade="BF" w:val="clear"/>
      </w:tcPr>
    </w:tblStylePr>
    <w:tblStylePr w:type="band1Vert">
      <w:tblPr/>
      <w:tcPr>
        <w:shd w:color="auto" w:fill="BFB1D0" w:themeFill="accent4" w:themeFillTint="7F" w:val="clear"/>
      </w:tcPr>
    </w:tblStylePr>
    <w:tblStylePr w:type="band1Horz">
      <w:tblPr/>
      <w:tcPr>
        <w:shd w:color="auto" w:fill="BFB1D0" w:themeFill="accent4" w:themeFillTint="7F" w:val="clear"/>
      </w:tcPr>
    </w:tblStylePr>
  </w:style>
  <w:style w:styleId="ColorfulGrid-Accent5" w:type="table">
    <w:name w:val="Colorful Grid Accent 5"/>
    <w:basedOn w:val="TableNormal"/>
    <w:uiPriority w:val="73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insideH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DAEEF3" w:themeFill="accent5" w:themeFillTint="33" w:val="clear"/>
    </w:tcPr>
    <w:tblStylePr w:type="firstRow">
      <w:rPr>
        <w:b/>
        <w:bCs/>
      </w:rPr>
      <w:tblPr/>
      <w:tcPr>
        <w:shd w:color="auto" w:fill="B6DDE8" w:themeFill="accent5" w:themeFillTint="66" w:val="clear"/>
      </w:tcPr>
    </w:tblStylePr>
    <w:tblStylePr w:type="lastRow">
      <w:rPr>
        <w:b/>
        <w:bCs/>
        <w:color w:themeColor="text1" w:val="000000"/>
      </w:rPr>
      <w:tblPr/>
      <w:tcPr>
        <w:shd w:color="auto" w:fill="B6DDE8" w:themeFill="accent5" w:themeFillTint="66" w:val="clear"/>
      </w:tcPr>
    </w:tblStylePr>
    <w:tblStylePr w:type="firstCol">
      <w:rPr>
        <w:color w:themeColor="background1" w:val="FFFFFF"/>
      </w:rPr>
      <w:tblPr/>
      <w:tcPr>
        <w:shd w:color="auto" w:fill="31849B" w:themeFill="accent5" w:themeFillShade="BF" w:val="clear"/>
      </w:tcPr>
    </w:tblStylePr>
    <w:tblStylePr w:type="lastCol">
      <w:rPr>
        <w:color w:themeColor="background1" w:val="FFFFFF"/>
      </w:rPr>
      <w:tblPr/>
      <w:tcPr>
        <w:shd w:color="auto" w:fill="31849B" w:themeFill="accent5" w:themeFillShade="BF" w:val="clear"/>
      </w:tcPr>
    </w:tblStylePr>
    <w:tblStylePr w:type="band1Vert">
      <w:tblPr/>
      <w:tcPr>
        <w:shd w:color="auto" w:fill="A5D5E2" w:themeFill="accent5" w:themeFillTint="7F" w:val="clear"/>
      </w:tcPr>
    </w:tblStylePr>
    <w:tblStylePr w:type="band1Horz">
      <w:tblPr/>
      <w:tcPr>
        <w:shd w:color="auto" w:fill="A5D5E2" w:themeFill="accent5" w:themeFillTint="7F" w:val="clear"/>
      </w:tcPr>
    </w:tblStylePr>
  </w:style>
  <w:style w:styleId="ColorfulGrid-Accent6" w:type="table">
    <w:name w:val="Colorful Grid Accent 6"/>
    <w:basedOn w:val="TableNormal"/>
    <w:uiPriority w:val="73"/>
    <w:rsid w:val="00CB0664"/>
    <w:pPr>
      <w:spacing w:after="0" w:line="240" w:lineRule="auto"/>
    </w:pPr>
    <w:rPr>
      <w:color w:themeColor="text1" w:val="000000"/>
    </w:rPr>
    <w:tblPr>
      <w:tblStyleRowBandSize w:val="1"/>
      <w:tblStyleColBandSize w:val="1"/>
      <w:tblInd w:type="dxa" w:w="0"/>
      <w:tblBorders>
        <w:insideH w:color="FFFFFF" w:space="0" w:sz="4" w:themeColor="background1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shd w:color="auto" w:fill="FDE9D9" w:themeFill="accent6" w:themeFillTint="33" w:val="clear"/>
    </w:tcPr>
    <w:tblStylePr w:type="firstRow">
      <w:rPr>
        <w:b/>
        <w:bCs/>
      </w:rPr>
      <w:tblPr/>
      <w:tcPr>
        <w:shd w:color="auto" w:fill="FBD4B4" w:themeFill="accent6" w:themeFillTint="66" w:val="clear"/>
      </w:tcPr>
    </w:tblStylePr>
    <w:tblStylePr w:type="lastRow">
      <w:rPr>
        <w:b/>
        <w:bCs/>
        <w:color w:themeColor="text1" w:val="000000"/>
      </w:rPr>
      <w:tblPr/>
      <w:tcPr>
        <w:shd w:color="auto" w:fill="FBD4B4" w:themeFill="accent6" w:themeFillTint="66" w:val="clear"/>
      </w:tcPr>
    </w:tblStylePr>
    <w:tblStylePr w:type="firstCol">
      <w:rPr>
        <w:color w:themeColor="background1" w:val="FFFFFF"/>
      </w:rPr>
      <w:tblPr/>
      <w:tcPr>
        <w:shd w:color="auto" w:fill="E36C0A" w:themeFill="accent6" w:themeFillShade="BF" w:val="clear"/>
      </w:tcPr>
    </w:tblStylePr>
    <w:tblStylePr w:type="lastCol">
      <w:rPr>
        <w:color w:themeColor="background1" w:val="FFFFFF"/>
      </w:rPr>
      <w:tblPr/>
      <w:tcPr>
        <w:shd w:color="auto" w:fill="E36C0A" w:themeFill="accent6" w:themeFillShade="BF" w:val="clear"/>
      </w:tcPr>
    </w:tblStylePr>
    <w:tblStylePr w:type="band1Vert">
      <w:tblPr/>
      <w:tcPr>
        <w:shd w:color="auto" w:fill="FBCAA2" w:themeFill="accent6" w:themeFillTint="7F" w:val="clear"/>
      </w:tcPr>
    </w:tblStylePr>
    <w:tblStylePr w:type="band1Horz">
      <w:tblPr/>
      <w:tcPr>
        <w:shd w:color="auto" w:fill="FBCAA2" w:themeFill="accent6" w:themeFillTint="7F" w:val="clear"/>
      </w:tcPr>
    </w:tblStylePr>
  </w:style>
  <w:style w:customStyle="1" w:styleId="FirstParagraph" w:type="paragraph">
    <w:name w:val="First Paragraph"/>
    <w:basedOn w:val="BodyText"/>
    <w:pPr>
      <w:keepNext w:val="0"/>
      <w:spacing w:after="0" w:before="0" w:line="276" w:lineRule="auto"/>
      <w:jc w:val="both"/>
    </w:pPr>
    <w:rPr>
      <w:rFonts w:ascii="Times New Roman" w:hAnsi="Times New Roman"/>
      <w:b w:val="0"/>
      <w:i w:val="0"/>
      <w:sz w:val="22"/>
    </w:rPr>
  </w:style>
  <w:style w:customStyle="1" w:styleId="Compact" w:type="paragraph">
    <w:name w:val="Compact"/>
    <w:basedOn w:val="BodyText"/>
    <w:pPr>
      <w:keepNext w:val="0"/>
      <w:spacing w:after="40" w:before="0" w:line="252" w:lineRule="auto"/>
      <w:ind w:left="317" w:hanging="259"/>
      <w:jc w:val="both"/>
    </w:pPr>
    <w:rPr>
      <w:rFonts w:ascii="Times New Roman" w:hAnsi="Times New Roman"/>
      <w:b w:val="0"/>
      <w:i w:val="0"/>
      <w:sz w:val="22"/>
    </w:rPr>
  </w:style>
  <w:style w:customStyle="1" w:styleId="AbstractLabel" w:type="paragraph">
    <w:name w:val="Abstract Label"/>
    <w:basedOn w:val="BodyText"/>
    <w:pPr>
      <w:keepNext/>
      <w:spacing w:after="80" w:before="80"/>
      <w:jc w:val="center"/>
    </w:pPr>
    <w:rPr>
      <w:rFonts w:ascii="Times New Roman" w:hAnsi="Times New Roman"/>
      <w:b/>
      <w:i w:val="0"/>
      <w:sz w:val="22"/>
    </w:rPr>
  </w:style>
  <w:style w:customStyle="1" w:styleId="Keywords" w:type="paragraph">
    <w:name w:val="Keywords"/>
    <w:basedOn w:val="BodyText"/>
    <w:pPr>
      <w:keepNext w:val="0"/>
      <w:spacing w:after="80" w:before="0"/>
      <w:jc w:val="both"/>
    </w:pPr>
    <w:rPr>
      <w:rFonts w:ascii="Times New Roman" w:hAnsi="Times New Roman"/>
      <w:b w:val="0"/>
      <w:i w:val="0"/>
      <w:sz w:val="22"/>
    </w:rPr>
  </w:style>
  <w:style w:customStyle="1" w:styleId="ImageCaption" w:type="paragraph">
    <w:name w:val="Image Caption"/>
    <w:basedOn w:val="BodyText"/>
    <w:pPr>
      <w:keepNext w:val="0"/>
      <w:spacing w:after="120" w:before="80" w:line="240" w:lineRule="auto"/>
      <w:jc w:val="center"/>
    </w:pPr>
    <w:rPr>
      <w:rFonts w:ascii="Times New Roman" w:hAnsi="Times New Roman"/>
      <w:b w:val="0"/>
      <w:i/>
      <w:sz w:val="19"/>
    </w:rPr>
  </w:style>
  <w:style w:customStyle="1" w:styleId="TableCaption" w:type="paragraph">
    <w:name w:val="Table Caption"/>
    <w:basedOn w:val="BodyText"/>
    <w:pPr>
      <w:keepNext/>
      <w:spacing w:after="60" w:before="160" w:line="240" w:lineRule="auto"/>
      <w:jc w:val="center"/>
    </w:pPr>
    <w:rPr>
      <w:rFonts w:ascii="Times New Roman" w:hAnsi="Times New Roman"/>
      <w:b w:val="0"/>
      <w:i/>
      <w:sz w:val="19"/>
    </w:rPr>
  </w:style>
  <w:style w:customStyle="1" w:styleId="ReferencesHeading" w:type="paragraph">
    <w:name w:val="References Heading"/>
    <w:basedOn w:val="Heading1"/>
    <w:pPr>
      <w:keepNext/>
      <w:spacing w:after="120" w:before="240"/>
    </w:pPr>
    <w:rPr>
      <w:rFonts w:ascii="Times New Roman" w:hAnsi="Times New Roman"/>
      <w:b/>
      <w:i w:val="0"/>
      <w:sz w:val="28"/>
    </w:rPr>
  </w:style>
  <w:style w:customStyle="1" w:styleId="ReferenceEntry" w:type="paragraph">
    <w:name w:val="Reference Entry"/>
    <w:basedOn w:val="BodyText"/>
    <w:pPr>
      <w:keepNext w:val="0"/>
      <w:spacing w:after="40" w:before="0" w:line="240" w:lineRule="auto"/>
      <w:ind w:left="0" w:firstLine="0"/>
      <w:jc w:val="both"/>
    </w:pPr>
    <w:rPr>
      <w:rFonts w:ascii="Times New Roman" w:hAnsi="Times New Roman"/>
      <w:b w:val="0"/>
      <w:i w:val="0"/>
      <w:sz w:val="20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b/>
      <w:color w:val="007020"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>
      <w:b/>
      <w:color w:val="008000"/>
    </w:rPr>
  </w:style>
  <w:style w:type="character" w:customStyle="1" w:styleId="CommentTok">
    <w:name w:val="CommentTok"/>
    <w:basedOn w:val="VerbatimChar"/>
    <w:rPr>
      <w:i/>
      <w:color w:val="60a0b0"/>
    </w:rPr>
  </w:style>
  <w:style w:type="character" w:customStyle="1" w:styleId="DocumentationTok">
    <w:name w:val="DocumentationTok"/>
    <w:basedOn w:val="VerbatimChar"/>
    <w:rPr>
      <w:i/>
      <w:color w:val="ba2121"/>
    </w:rPr>
  </w:style>
  <w:style w:type="character" w:customStyle="1" w:styleId="AnnotationTok">
    <w:name w:val="AnnotationTok"/>
    <w:basedOn w:val="VerbatimChar"/>
    <w:rPr>
      <w:b/>
      <w:i/>
      <w:color w:val="60a0b0"/>
    </w:rPr>
  </w:style>
  <w:style w:type="character" w:customStyle="1" w:styleId="CommentVarTok">
    <w:name w:val="CommentVarTok"/>
    <w:basedOn w:val="VerbatimChar"/>
    <w:rPr>
      <w:b/>
      <w:i/>
      <w:color w:val="60a0b0"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b/>
      <w:color w:val="007020"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>
      <w:color w:val="008000"/>
    </w:rPr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b/>
      <w:i/>
      <w:color w:val="60a0b0"/>
    </w:rPr>
  </w:style>
  <w:style w:type="character" w:customStyle="1" w:styleId="WarningTok">
    <w:name w:val="WarningTok"/>
    <w:basedOn w:val="VerbatimChar"/>
    <w:rPr>
      <w:b/>
      <w:i/>
      <w:color w:val="60a0b0"/>
    </w:rPr>
  </w:style>
  <w:style w:type="character" w:customStyle="1" w:styleId="AlertTok">
    <w:name w:val="AlertTok"/>
    <w:basedOn w:val="VerbatimChar"/>
    <w:rPr>
      <w:b/>
      <w:color w:val="ff0000"/>
    </w:rPr>
  </w:style>
  <w:style w:type="character" w:customStyle="1" w:styleId="ErrorTok">
    <w:name w:val="ErrorTok"/>
    <w:basedOn w:val="VerbatimChar"/>
    <w:rPr>
      <w:b/>
      <w:color w:val="ff0000"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8" Type="http://schemas.openxmlformats.org/officeDocument/2006/relationships/numbering" Target="numbering.xml"/><Relationship Id="rId7" Type="http://schemas.openxmlformats.org/officeDocument/2006/relationships/styles" Target="styles.xml"/><Relationship Id="rId6" Type="http://schemas.openxmlformats.org/officeDocument/2006/relationships/settings" Target="settings.xml"/><Relationship Id="rId5" Type="http://schemas.openxmlformats.org/officeDocument/2006/relationships/webSettings" Target="webSettings.xml"/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footnotes" Target="footnotes.xml"/><Relationship Id="rId1" Type="http://schemas.openxmlformats.org/officeDocument/2006/relationships/comments" Target="comments.xml"/><Relationship Id="rId14" Type="http://schemas.openxmlformats.org/officeDocument/2006/relationships/image" Target="media/rId14.png"/><Relationship Id="rId36" Type="http://schemas.openxmlformats.org/officeDocument/2006/relationships/image" Target="media/rId36.png"/><Relationship Id="rId25" Type="http://schemas.openxmlformats.org/officeDocument/2006/relationships/image" Target="media/rId25.png"/><Relationship Id="rId40" Type="http://schemas.openxmlformats.org/officeDocument/2006/relationships/image" Target="media/rId40.png"/><Relationship Id="rId46" Type="http://schemas.openxmlformats.org/officeDocument/2006/relationships/image" Target="media/rId46.png"/><Relationship Id="rId49" Type="http://schemas.openxmlformats.org/officeDocument/2006/relationships/image" Target="media/rId49.png"/><Relationship Id="rId52" Type="http://schemas.openxmlformats.org/officeDocument/2006/relationships/image" Target="media/rId52.png"/><Relationship Id="rId28" Type="http://schemas.openxmlformats.org/officeDocument/2006/relationships/image" Target="media/rId28.png"/><Relationship Id="rId9" Type="http://schemas.openxmlformats.org/officeDocument/2006/relationships/hyperlink" Target="Adamenko_et_al_Opportunistic_LPR_draft1.docx" TargetMode="External"/><Relationship Id="rId103" Type="http://schemas.openxmlformats.org/officeDocument/2006/relationships/hyperlink" Target="https://arxiv.org/abs/1804.03999" TargetMode="External"/><Relationship Id="rId73" Type="http://schemas.openxmlformats.org/officeDocument/2006/relationships/hyperlink" Target="https://arxiv.org/abs/2006.11239" TargetMode="External"/><Relationship Id="rId75" Type="http://schemas.openxmlformats.org/officeDocument/2006/relationships/hyperlink" Target="https://arxiv.org/abs/2010.02502" TargetMode="External"/><Relationship Id="rId91" Type="http://schemas.openxmlformats.org/officeDocument/2006/relationships/hyperlink" Target="https://arxiv.org/abs/2310.11881" TargetMode="External"/><Relationship Id="rId99" Type="http://schemas.openxmlformats.org/officeDocument/2006/relationships/hyperlink" Target="https://dl.acm.org/doi/10.5555/2969033.2969125" TargetMode="External"/><Relationship Id="rId120" Type="http://schemas.openxmlformats.org/officeDocument/2006/relationships/hyperlink" Target="https://doi.org/10.1007/978-3-030-01258-8_36" TargetMode="External"/><Relationship Id="rId105" Type="http://schemas.openxmlformats.org/officeDocument/2006/relationships/hyperlink" Target="https://doi.org/10.1007/978-3-030-11021-5_5" TargetMode="External"/><Relationship Id="rId67" Type="http://schemas.openxmlformats.org/officeDocument/2006/relationships/hyperlink" Target="https://doi.org/10.1007/978-3-319-24574-4_28" TargetMode="External"/><Relationship Id="rId89" Type="http://schemas.openxmlformats.org/officeDocument/2006/relationships/hyperlink" Target="https://doi.org/10.1007/s10708-007-9111-y" TargetMode="External"/><Relationship Id="rId87" Type="http://schemas.openxmlformats.org/officeDocument/2006/relationships/hyperlink" Target="https://doi.org/10.1007/s10708-013-9516-8" TargetMode="External"/><Relationship Id="rId126" Type="http://schemas.openxmlformats.org/officeDocument/2006/relationships/hyperlink" Target="https://doi.org/10.1016/j.heliyon.2021.e08341" TargetMode="External"/><Relationship Id="rId107" Type="http://schemas.openxmlformats.org/officeDocument/2006/relationships/hyperlink" Target="https://doi.org/10.1049/itr2.12030" TargetMode="External"/><Relationship Id="rId128" Type="http://schemas.openxmlformats.org/officeDocument/2006/relationships/hyperlink" Target="https://doi.org/10.1109/34.888718" TargetMode="External"/><Relationship Id="rId78" Type="http://schemas.openxmlformats.org/officeDocument/2006/relationships/hyperlink" Target="https://doi.org/10.1109/ACCESS.2020.3047929" TargetMode="External"/><Relationship Id="rId71" Type="http://schemas.openxmlformats.org/officeDocument/2006/relationships/hyperlink" Target="https://doi.org/10.1109/CVPR.2017.632" TargetMode="External"/><Relationship Id="rId69" Type="http://schemas.openxmlformats.org/officeDocument/2006/relationships/hyperlink" Target="https://doi.org/10.1109/CVPR52688.2022.00564" TargetMode="External"/><Relationship Id="rId95" Type="http://schemas.openxmlformats.org/officeDocument/2006/relationships/hyperlink" Target="https://doi.org/10.1109/CVPR52688.2022.01716" TargetMode="External"/><Relationship Id="rId124" Type="http://schemas.openxmlformats.org/officeDocument/2006/relationships/hyperlink" Target="https://doi.org/10.1109/ICASSP.2019.8682507" TargetMode="External"/><Relationship Id="rId130" Type="http://schemas.openxmlformats.org/officeDocument/2006/relationships/hyperlink" Target="https://doi.org/10.1109/ICCV.2009.5459413" TargetMode="External"/><Relationship Id="rId122" Type="http://schemas.openxmlformats.org/officeDocument/2006/relationships/hyperlink" Target="https://doi.org/10.1109/ICPR48806.2021.9413152" TargetMode="External"/><Relationship Id="rId112" Type="http://schemas.openxmlformats.org/officeDocument/2006/relationships/hyperlink" Target="https://doi.org/10.1109/MCOM.2010.5560598" TargetMode="External"/><Relationship Id="rId84" Type="http://schemas.openxmlformats.org/officeDocument/2006/relationships/hyperlink" Target="https://doi.org/10.1109/MCOM.2011.6069707" TargetMode="External"/><Relationship Id="rId82" Type="http://schemas.openxmlformats.org/officeDocument/2006/relationships/hyperlink" Target="https://doi.org/10.1109/MIC.2008.90" TargetMode="External"/><Relationship Id="rId97" Type="http://schemas.openxmlformats.org/officeDocument/2006/relationships/hyperlink" Target="https://doi.org/10.1109/TIP.2003.819861" TargetMode="External"/><Relationship Id="rId80" Type="http://schemas.openxmlformats.org/officeDocument/2006/relationships/hyperlink" Target="https://doi.org/10.1109/TITS.2008.922938" TargetMode="External"/><Relationship Id="rId101" Type="http://schemas.openxmlformats.org/officeDocument/2006/relationships/hyperlink" Target="https://doi.org/10.1109/TPAMI.2022.3204461" TargetMode="External"/><Relationship Id="rId93" Type="http://schemas.openxmlformats.org/officeDocument/2006/relationships/hyperlink" Target="https://doi.org/10.1137/070709359" TargetMode="External"/><Relationship Id="rId116" Type="http://schemas.openxmlformats.org/officeDocument/2006/relationships/hyperlink" Target="https://doi.org/10.1145/1378600.1378605" TargetMode="External"/><Relationship Id="rId109" Type="http://schemas.openxmlformats.org/officeDocument/2006/relationships/hyperlink" Target="https://doi.org/10.1145/2629592" TargetMode="External"/><Relationship Id="rId132" Type="http://schemas.openxmlformats.org/officeDocument/2006/relationships/hyperlink" Target="https://doi.org/10.21437/Eurospeech.1997-504" TargetMode="External"/><Relationship Id="rId118" Type="http://schemas.openxmlformats.org/officeDocument/2006/relationships/hyperlink" Target="https://doi.org/10.5220/0010846800003124" TargetMode="External"/><Relationship Id="rId114" Type="http://schemas.openxmlformats.org/officeDocument/2006/relationships/hyperlink" Target="https://escholarship.org/uc/item/19h777qd" TargetMode="External"/><Relationship Id="rId10" Type="http://schemas.openxmlformats.org/officeDocument/2006/relationships/hyperlink" Target="https://github.com/apartsin/OpportunisticSensing4LPR" TargetMode="External"/><Relationship Id="rId11" Type="http://schemas.openxmlformats.org/officeDocument/2006/relationships/footer" Target="footer1.xml"/></Relationships>
</file>

<file path=word/_rels/footnotes.xml.rels><?xml version='1.0' encoding='UTF-8' standalone='yes'?>
<Relationships xmlns="http://schemas.openxmlformats.org/package/2006/relationships"><Relationship Id="rId9" Type="http://schemas.openxmlformats.org/officeDocument/2006/relationships/hyperlink" Target="Adamenko_et_al_Opportunistic_LPR_draft1.docx" TargetMode="External"/><Relationship Id="rId103" Type="http://schemas.openxmlformats.org/officeDocument/2006/relationships/hyperlink" Target="https://arxiv.org/abs/1804.03999" TargetMode="External"/><Relationship Id="rId73" Type="http://schemas.openxmlformats.org/officeDocument/2006/relationships/hyperlink" Target="https://arxiv.org/abs/2006.11239" TargetMode="External"/><Relationship Id="rId75" Type="http://schemas.openxmlformats.org/officeDocument/2006/relationships/hyperlink" Target="https://arxiv.org/abs/2010.02502" TargetMode="External"/><Relationship Id="rId91" Type="http://schemas.openxmlformats.org/officeDocument/2006/relationships/hyperlink" Target="https://arxiv.org/abs/2310.11881" TargetMode="External"/><Relationship Id="rId99" Type="http://schemas.openxmlformats.org/officeDocument/2006/relationships/hyperlink" Target="https://dl.acm.org/doi/10.5555/2969033.2969125" TargetMode="External"/><Relationship Id="rId120" Type="http://schemas.openxmlformats.org/officeDocument/2006/relationships/hyperlink" Target="https://doi.org/10.1007/978-3-030-01258-8_36" TargetMode="External"/><Relationship Id="rId105" Type="http://schemas.openxmlformats.org/officeDocument/2006/relationships/hyperlink" Target="https://doi.org/10.1007/978-3-030-11021-5_5" TargetMode="External"/><Relationship Id="rId67" Type="http://schemas.openxmlformats.org/officeDocument/2006/relationships/hyperlink" Target="https://doi.org/10.1007/978-3-319-24574-4_28" TargetMode="External"/><Relationship Id="rId89" Type="http://schemas.openxmlformats.org/officeDocument/2006/relationships/hyperlink" Target="https://doi.org/10.1007/s10708-007-9111-y" TargetMode="External"/><Relationship Id="rId87" Type="http://schemas.openxmlformats.org/officeDocument/2006/relationships/hyperlink" Target="https://doi.org/10.1007/s10708-013-9516-8" TargetMode="External"/><Relationship Id="rId126" Type="http://schemas.openxmlformats.org/officeDocument/2006/relationships/hyperlink" Target="https://doi.org/10.1016/j.heliyon.2021.e08341" TargetMode="External"/><Relationship Id="rId107" Type="http://schemas.openxmlformats.org/officeDocument/2006/relationships/hyperlink" Target="https://doi.org/10.1049/itr2.12030" TargetMode="External"/><Relationship Id="rId128" Type="http://schemas.openxmlformats.org/officeDocument/2006/relationships/hyperlink" Target="https://doi.org/10.1109/34.888718" TargetMode="External"/><Relationship Id="rId78" Type="http://schemas.openxmlformats.org/officeDocument/2006/relationships/hyperlink" Target="https://doi.org/10.1109/ACCESS.2020.3047929" TargetMode="External"/><Relationship Id="rId71" Type="http://schemas.openxmlformats.org/officeDocument/2006/relationships/hyperlink" Target="https://doi.org/10.1109/CVPR.2017.632" TargetMode="External"/><Relationship Id="rId69" Type="http://schemas.openxmlformats.org/officeDocument/2006/relationships/hyperlink" Target="https://doi.org/10.1109/CVPR52688.2022.00564" TargetMode="External"/><Relationship Id="rId95" Type="http://schemas.openxmlformats.org/officeDocument/2006/relationships/hyperlink" Target="https://doi.org/10.1109/CVPR52688.2022.01716" TargetMode="External"/><Relationship Id="rId124" Type="http://schemas.openxmlformats.org/officeDocument/2006/relationships/hyperlink" Target="https://doi.org/10.1109/ICASSP.2019.8682507" TargetMode="External"/><Relationship Id="rId130" Type="http://schemas.openxmlformats.org/officeDocument/2006/relationships/hyperlink" Target="https://doi.org/10.1109/ICCV.2009.5459413" TargetMode="External"/><Relationship Id="rId122" Type="http://schemas.openxmlformats.org/officeDocument/2006/relationships/hyperlink" Target="https://doi.org/10.1109/ICPR48806.2021.9413152" TargetMode="External"/><Relationship Id="rId112" Type="http://schemas.openxmlformats.org/officeDocument/2006/relationships/hyperlink" Target="https://doi.org/10.1109/MCOM.2010.5560598" TargetMode="External"/><Relationship Id="rId84" Type="http://schemas.openxmlformats.org/officeDocument/2006/relationships/hyperlink" Target="https://doi.org/10.1109/MCOM.2011.6069707" TargetMode="External"/><Relationship Id="rId82" Type="http://schemas.openxmlformats.org/officeDocument/2006/relationships/hyperlink" Target="https://doi.org/10.1109/MIC.2008.90" TargetMode="External"/><Relationship Id="rId97" Type="http://schemas.openxmlformats.org/officeDocument/2006/relationships/hyperlink" Target="https://doi.org/10.1109/TIP.2003.819861" TargetMode="External"/><Relationship Id="rId80" Type="http://schemas.openxmlformats.org/officeDocument/2006/relationships/hyperlink" Target="https://doi.org/10.1109/TITS.2008.922938" TargetMode="External"/><Relationship Id="rId101" Type="http://schemas.openxmlformats.org/officeDocument/2006/relationships/hyperlink" Target="https://doi.org/10.1109/TPAMI.2022.3204461" TargetMode="External"/><Relationship Id="rId93" Type="http://schemas.openxmlformats.org/officeDocument/2006/relationships/hyperlink" Target="https://doi.org/10.1137/070709359" TargetMode="External"/><Relationship Id="rId116" Type="http://schemas.openxmlformats.org/officeDocument/2006/relationships/hyperlink" Target="https://doi.org/10.1145/1378600.1378605" TargetMode="External"/><Relationship Id="rId109" Type="http://schemas.openxmlformats.org/officeDocument/2006/relationships/hyperlink" Target="https://doi.org/10.1145/2629592" TargetMode="External"/><Relationship Id="rId132" Type="http://schemas.openxmlformats.org/officeDocument/2006/relationships/hyperlink" Target="https://doi.org/10.21437/Eurospeech.1997-504" TargetMode="External"/><Relationship Id="rId118" Type="http://schemas.openxmlformats.org/officeDocument/2006/relationships/hyperlink" Target="https://doi.org/10.5220/0010846800003124" TargetMode="External"/><Relationship Id="rId114" Type="http://schemas.openxmlformats.org/officeDocument/2006/relationships/hyperlink" Target="https://escholarship.org/uc/item/19h777qd" TargetMode="External"/><Relationship Id="rId10" Type="http://schemas.openxmlformats.org/officeDocument/2006/relationships/hyperlink" Target="https://github.com/apartsin/OpportunisticSensing4LP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dc:language>en</dc:language>
  <cp:keywords/>
  <dcterms:created xsi:type="dcterms:W3CDTF">2026-04-20T06:29:18Z</dcterms:created>
  <dcterms:modified xsi:type="dcterms:W3CDTF">2026-04-20T06:29:18Z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viewport">
    <vt:lpwstr>width=device-width, initial-scale=1.0</vt:lpwstr>
  </property>
</Properties>
</file>