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 w:name="X8c9c394fabb95000d1cab7016f0f5f4ef6af9cf"/>
    <w:p>
      <w:pPr>
        <w:pStyle w:val="Title"/>
        <w:spacing w:before="0" w:after="160"/>
        <w:jc w:val="center"/>
        <w:keepNext/>
        <w:keepLines/>
        <w:widowControl w:val="1"/>
      </w:pPr>
      <w:r>
        <w:t xml:space="preserve">DGLD: Domain-Gated Latent Diffusion for the Discovery of Novel Energetic Materials</w:t>
      </w:r>
    </w:p>
    <w:p>
      <w:pPr>
        <w:pStyle w:val="Subtitle"/>
        <w:spacing w:before="0" w:after="40"/>
        <w:jc w:val="center"/>
        <w:keepNext/>
        <w:keepLines/>
        <w:widowControl w:val="1"/>
      </w:pPr>
      <w:r>
        <w:t xml:space="preserve">Yehudit Aperstein</w:t>
      </w:r>
      <w:r>
        <w:rPr>
          <w:vertAlign w:val="superscript"/>
        </w:rPr>
        <w:t xml:space="preserve">1</w:t>
      </w:r>
      <w:r>
        <w:t xml:space="preserve">, Alexander Apartsin</w:t>
      </w:r>
      <w:r>
        <w:rPr>
          <w:vertAlign w:val="superscript"/>
        </w:rPr>
        <w:t xml:space="preserve">2</w:t>
      </w:r>
    </w:p>
    <w:p>
      <w:pPr>
        <w:pStyle w:val="Subtitle"/>
        <w:spacing w:before="0" w:after="160"/>
        <w:jc w:val="center"/>
        <w:keepNext w:val="0"/>
        <w:keepLines/>
        <w:widowControl w:val="1"/>
      </w:pPr>
      <w:r>
        <w:rPr>
          <w:sz w:val="20"/>
          <w:vertAlign w:val="superscript"/>
        </w:rPr>
        <w:t xml:space="preserve">1</w:t>
      </w:r>
      <w:r>
        <w:rPr>
          <w:sz w:val="20"/>
        </w:rPr>
        <w:t xml:space="preserve">Department of Intelligent Systems, Afeka Tel-Aviv College of Engineering, Israel.</w:t>
      </w:r>
      <w:r>
        <w:rPr>
          <w:sz w:val="20"/>
        </w:rPr>
        <w:t xml:space="preserve"> </w:t>
      </w:r>
      <w:r>
        <w:rPr>
          <w:sz w:val="20"/>
          <w:vertAlign w:val="superscript"/>
        </w:rPr>
        <w:t xml:space="preserve">2</w:t>
      </w:r>
      <w:r>
        <w:rPr>
          <w:sz w:val="20"/>
        </w:rPr>
        <w:t xml:space="preserve">School of Computer Science, Faculty of Sciences, HIT-Holon Institute of Technology, Israel.</w:t>
      </w:r>
    </w:p>
    <w:bookmarkEnd w:id="9"/>
    <w:bookmarkStart w:id="11" w:name="abstract"/>
    <w:p>
      <w:pPr>
        <w:pStyle w:val="AbstractLabel"/>
        <w:jc w:val="center"/>
        <w:keepNext/>
        <w:keepLines/>
        <w:widowControl w:val="1"/>
      </w:pPr>
      <w:r>
        <w:t xml:space="preserve">Abstract</w:t>
      </w:r>
    </w:p>
    <w:p>
      <w:pPr>
        <w:pStyle w:val="FirstParagraph"/>
        <w:jc w:val="both"/>
        <w:keepNext w:val="0"/>
        <w:keepLines w:val="0"/>
        <w:widowControl w:val="1"/>
      </w:pPr>
      <w:r>
        <w:t xml:space="preserve">Energetic-materials performance gains translate directly into reduced propellant mass, smaller warheads, and more efficient civilian gas-generators, yet no new HMX-class compound has been disclosed in fifteen years. Designing one is a sparse-label problem: of ~66 k labelled CHNO molecules only ~3 k carry experimental or DFT-quality measurements, and naive generative models trained on the full mixture either memorise the high-performance tail or extrapolate without calibration.</w:t>
      </w:r>
    </w:p>
    <w:p>
      <w:pPr>
        <w:pStyle w:val="BodyText"/>
        <w:jc w:val="both"/>
        <w:keepNext w:val="0"/>
        <w:keepLines w:val="0"/>
        <w:widowControl w:val="1"/>
      </w:pPr>
      <w:r>
        <w:t xml:space="preserve">We introduce</w:t>
      </w:r>
      <w:r>
        <w:t xml:space="preserve"> </w:t>
      </w:r>
      <w:r>
        <w:rPr>
          <w:b/>
          <w:bCs/>
        </w:rPr>
        <w:t xml:space="preserve">Domain-Gated Latent Diffusion (DGLD)</w:t>
      </w:r>
      <w:r>
        <w:t xml:space="preserve">: a label-quality gate at training time, multi-task score-model guidance at sample time, and a four-stage chemistry-validation funnel ending in first-principles DFT audit. The result is 12 DFT-confirmed novel leads. The headline compound, 3,4,5-trinitro-1,2-isoxazole (L1), reaches</w:t>
      </w:r>
      <w:r>
        <w:t xml:space="preserve"> </w:t>
      </w:r>
      <m:oMath>
        <m:sSub>
          <m:e>
            <m:r>
              <m:t>ρ</m:t>
            </m:r>
          </m:e>
          <m:sub>
            <m:r>
              <m:rPr>
                <m:nor/>
                <m:sty m:val="p"/>
              </m:rPr>
              <m:t>cal</m:t>
            </m:r>
          </m:sub>
        </m:sSub>
        <m:r>
          <m:rPr>
            <m:sty m:val="p"/>
          </m:rPr>
          <m:t>=</m:t>
        </m:r>
        <m:r>
          <m:t>2.09</m:t>
        </m:r>
      </m:oMath>
      <w:r>
        <w:t xml:space="preserve"> g/cm</w:t>
      </w:r>
      <w:r>
        <w:rPr>
          <w:vertAlign w:val="superscript"/>
        </w:rPr>
        <w:t xml:space="preserve">3</w:t>
      </w:r>
      <w:r>
        <w:t xml:space="preserve"> </w:t>
      </w:r>
      <w:r>
        <w:t xml:space="preserve">and</w:t>
      </w:r>
      <w:r>
        <w:t xml:space="preserve"> </w:t>
      </w:r>
      <m:oMath>
        <m:sSub>
          <m:e>
            <m:r>
              <m:t>D</m:t>
            </m:r>
          </m:e>
          <m:sub>
            <m:r>
              <m:rPr>
                <m:nor/>
                <m:sty m:val="p"/>
              </m:rPr>
              <m:t>K-J,cal</m:t>
            </m:r>
          </m:sub>
        </m:sSub>
        <m:r>
          <m:rPr>
            <m:sty m:val="p"/>
          </m:rPr>
          <m:t>=</m:t>
        </m:r>
        <m:r>
          <m:t>8.25</m:t>
        </m:r>
      </m:oMath>
      <w:r>
        <w:t xml:space="preserve"> km/s and is structurally dissimilar from all 65 980 training molecules (nearest-neighbour Tanimoto 0.27). A co-headline lead, E1 (4-nitro-1,2,3,5-oxatriazole), exceeds L1 on calibrated detonation velocity (</w:t>
      </w:r>
      <m:oMath>
        <m:sSub>
          <m:e>
            <m:r>
              <m:t>D</m:t>
            </m:r>
          </m:e>
          <m:sub>
            <m:r>
              <m:rPr>
                <m:nor/>
                <m:sty m:val="p"/>
              </m:rPr>
              <m:t>K-J,cal</m:t>
            </m:r>
          </m:sub>
        </m:sSub>
        <m:r>
          <m:rPr>
            <m:sty m:val="p"/>
          </m:rPr>
          <m:t>=</m:t>
        </m:r>
        <m:r>
          <m:t>9.00</m:t>
        </m:r>
      </m:oMath>
      <w:r>
        <w:t xml:space="preserve"> km/s) from a chemotype family disjoint from L1's.</w:t>
      </w:r>
    </w:p>
    <w:p>
      <w:pPr>
        <w:pStyle w:val="BodyText"/>
        <w:jc w:val="both"/>
        <w:keepNext w:val="0"/>
        <w:keepLines w:val="0"/>
        <w:widowControl w:val="1"/>
      </w:pPr>
      <w:r>
        <w:t xml:space="preserve">DGLD is the only method to land in the productive quadrant (simultaneously novel and on-target) at DFT level. SMILES-LSTM memorises 18.3% of its outputs exactly; SELFIES-GA's best novel candidate loses 3.5 km/s under DFT audit; REINVENT 4 generates novel high-N heterocycles but peaks at</w:t>
      </w:r>
      <w:r>
        <w:t xml:space="preserve"> </w:t>
      </w:r>
      <m:oMath>
        <m:r>
          <m:t>D</m:t>
        </m:r>
        <m:r>
          <m:rPr>
            <m:sty m:val="p"/>
          </m:rPr>
          <m:t>=</m:t>
        </m:r>
        <m:r>
          <m:t>9.02</m:t>
        </m:r>
      </m:oMath>
      <w:r>
        <w:t xml:space="preserve"> km/s. Code, checkpoints, and 918 mined hard negatives are released on Zenodo (DOI </w:t>
      </w:r>
      <w:hyperlink r:id="rId10">
        <w:r>
          <w:rPr>
            <w:rStyle w:val="VerbatimChar"/>
          </w:rPr>
          <w:t xml:space="preserve">10.5281/zenodo.19821953</w:t>
        </w:r>
      </w:hyperlink>
      <w:r>
        <w:t xml:space="preserve">); the next compound to enter the HMX-class band can be discovered, validated, and recommended for synthesis at the cost of a few GPU-days.</w:t>
      </w:r>
    </w:p>
    <w:bookmarkEnd w:id="11"/>
    <w:bookmarkStart w:id="18" w:name="sec-intro"/>
    <w:p>
      <w:pPr>
        <w:pStyle w:val="Heading2"/>
        <w:keepNext/>
        <w:keepLines/>
        <w:widowControl w:val="1"/>
      </w:pPr>
      <w:r>
        <w:t xml:space="preserve">1. Introduction</w:t>
      </w:r>
    </w:p>
    <w:p>
      <w:pPr>
        <w:pStyle w:val="FirstParagraph"/>
        <w:jc w:val="both"/>
        <w:keepNext w:val="0"/>
        <w:keepLines w:val="0"/>
        <w:widowControl w:val="1"/>
      </w:pPr>
      <w:r>
        <w:t xml:space="preserve">Energetic-materials performance gains translate directly into reduced propellant mass, smaller warheads, and more efficient civilian gas-generators, yet the canonical anchors of the field (HMX and CL-20) were developed decades ago and no new HMX-class compound has been disclosed in fifteen years. The space of synthesisable CHNO small molecules with the right balance of crystal density, oxygen balance, heat of formation, and detonation kinetics is vast, but traditional discovery explores it slowly. Computational methods offer acceleration, yet each existing family has a fundamental limitation: empirical formulas (Kamlet–Jacobs</w:t>
      </w:r>
      <w:r>
        <w:t xml:space="preserve"> </w:t>
      </w:r>
      <w:hyperlink w:anchor="ref-kamlet1968detonation">
        <w:r>
          <w:rPr>
            <w:rStyle w:val="Hyperlink"/>
          </w:rPr>
          <w:t xml:space="preserve">[12]</w:t>
        </w:r>
      </w:hyperlink>
      <w:r>
        <w:t xml:space="preserve">) are regime-limited; discriminative surrogates</w:t>
      </w:r>
      <w:r>
        <w:t xml:space="preserve"> </w:t>
      </w:r>
      <w:hyperlink w:anchor="ref-casey2020prediction">
        <w:r>
          <w:rPr>
            <w:rStyle w:val="Hyperlink"/>
          </w:rPr>
          <w:t xml:space="preserve">[15]</w:t>
        </w:r>
      </w:hyperlink>
      <w:hyperlink w:anchor="ref-zhou2023unimol">
        <w:r>
          <w:rPr>
            <w:rStyle w:val="Hyperlink"/>
          </w:rPr>
          <w:t xml:space="preserve">[16]</w:t>
        </w:r>
      </w:hyperlink>
      <w:r>
        <w:t xml:space="preserve"> </w:t>
      </w:r>
      <w:r>
        <w:t xml:space="preserve">score candidates but do not propose them; generative language models trained on energetic corpora memorise training data; and standard guidance methods</w:t>
      </w:r>
      <w:r>
        <w:t xml:space="preserve"> </w:t>
      </w:r>
      <w:hyperlink w:anchor="ref-ho2022cfg">
        <w:r>
          <w:rPr>
            <w:rStyle w:val="Hyperlink"/>
          </w:rPr>
          <w:t xml:space="preserve">[14]</w:t>
        </w:r>
      </w:hyperlink>
      <w:r>
        <w:t xml:space="preserve"> </w:t>
      </w:r>
      <w:r>
        <w:t xml:space="preserve">fail silently when the generative trajectory is as short as molecular generation requires. Compounding these challenges, the labelled corpus is tier-stratified: of ~66 k labelled rows only ~3 k come from experiment or DFT, with the rest from empirical formulas and 3D-CNN surrogates of sharply lower reliability.</w:t>
      </w:r>
    </w:p>
    <w:p>
      <w:pPr>
        <w:pStyle w:val="BodyText"/>
        <w:jc w:val="both"/>
        <w:keepNext w:val="0"/>
        <w:keepLines w:val="0"/>
        <w:widowControl w:val="1"/>
      </w:pPr>
      <w:r>
        <w:t xml:space="preserve">We introduce</w:t>
      </w:r>
      <w:r>
        <w:t xml:space="preserve"> </w:t>
      </w:r>
      <w:r>
        <w:rPr>
          <w:b/>
          <w:bCs/>
        </w:rPr>
        <w:t xml:space="preserve">Domain-Gated Latent Diffusion (DGLD)</w:t>
      </w:r>
      <w:r>
        <w:t xml:space="preserve">. At training time, a four-tier label-trust hierarchy gates which examples drive the conditional gradient (experimental and DFT labels) and which train only the unconditional prior (Kamlet–Jacobs and surrogate labels), preventing miscalibrated data from corrupting the generation signal. At sample time, a multi-task score model with six property and safety heads injects per-step steering into the diffusion trajectory; each head acts as an independent on/off switch without retraining the backbone. Decoded candidates pass through a four-stage validation funnel: a SMARTS chemistry gate, a Pareto reranker, semi-empirical GFN2-xTB triage, and full DFT audit (B3LYP/6-31G(d) +</w:t>
      </w:r>
      <w:r>
        <w:t xml:space="preserve"> </w:t>
      </w:r>
      <m:oMath>
        <m:r>
          <m:t>ω</m:t>
        </m:r>
      </m:oMath>
      <w:r>
        <w:t xml:space="preserve">B97X-D3BJ/def2-TZVP).</w:t>
      </w:r>
    </w:p>
    <w:p>
      <w:pPr>
        <w:pStyle w:val="BodyText"/>
        <w:jc w:val="both"/>
        <w:keepNext w:val="0"/>
        <w:keepLines w:val="0"/>
        <w:widowControl w:val="1"/>
      </w:pPr>
      <w:r>
        <w:t xml:space="preserve">DGLD yields 12 DFT-confirmed novel leads; the headline compound, trinitro-1,2-isoxazole (L1), reaches</w:t>
      </w:r>
      <w:r>
        <w:t xml:space="preserve"> </w:t>
      </w:r>
      <m:oMath>
        <m:sSub>
          <m:e>
            <m:r>
              <m:t>ρ</m:t>
            </m:r>
          </m:e>
          <m:sub>
            <m:r>
              <m:rPr>
                <m:nor/>
                <m:sty m:val="p"/>
              </m:rPr>
              <m:t>cal</m:t>
            </m:r>
          </m:sub>
        </m:sSub>
        <m:r>
          <m:rPr>
            <m:sty m:val="p"/>
          </m:rPr>
          <m:t>=</m:t>
        </m:r>
        <m:r>
          <m:t>2.09</m:t>
        </m:r>
      </m:oMath>
      <w:r>
        <w:t xml:space="preserve"> g/cm</w:t>
      </w:r>
      <w:r>
        <w:rPr>
          <w:vertAlign w:val="superscript"/>
        </w:rPr>
        <w:t xml:space="preserve">3</w:t>
      </w:r>
      <w:r>
        <w:t xml:space="preserve"> </w:t>
      </w:r>
      <w:r>
        <w:t xml:space="preserve">and</w:t>
      </w:r>
      <w:r>
        <w:t xml:space="preserve"> </w:t>
      </w:r>
      <m:oMath>
        <m:sSub>
          <m:e>
            <m:r>
              <m:t>D</m:t>
            </m:r>
          </m:e>
          <m:sub>
            <m:r>
              <m:rPr>
                <m:nor/>
                <m:sty m:val="p"/>
              </m:rPr>
              <m:t>K-J,cal</m:t>
            </m:r>
          </m:sub>
        </m:sSub>
        <m:r>
          <m:rPr>
            <m:sty m:val="p"/>
          </m:rPr>
          <m:t>=</m:t>
        </m:r>
        <m:r>
          <m:t>8.25</m:t>
        </m:r>
      </m:oMath>
      <w:r>
        <w:t xml:space="preserve"> km/s, placing it within the HMX/CL-20 performance band at max-Tanimoto 0.27 to our 65 980-row labelled corpus (§5.2). DGLD behaves as a</w:t>
      </w:r>
      <w:r>
        <w:t xml:space="preserve"> </w:t>
      </w:r>
      <w:r>
        <w:rPr>
          <w:i/>
          <w:iCs/>
        </w:rPr>
        <w:t xml:space="preserve">productive-quadrant generator</w:t>
      </w:r>
      <w:r>
        <w:t xml:space="preserve">: it samples molecules that are simultaneously novel relative to the labelled master and competitive with the HMX/CL-20 reference class on predicted detonation performance. Across three strong baselines, DGLD is the only method with consistent novel productive-quadrant coverage (simultaneously novel and on-target for performance): SMILES-LSTM memorises 18.3% of outputs exactly; SELFIES-GA returns 74% corpus rediscoveries and its best novel candidate collapses from</w:t>
      </w:r>
      <w:r>
        <w:t xml:space="preserve"> </w:t>
      </w:r>
      <m:oMath>
        <m:sSub>
          <m:e>
            <m:r>
              <m:t>D</m:t>
            </m:r>
          </m:e>
          <m:sub>
            <m:r>
              <m:rPr>
                <m:nor/>
                <m:sty m:val="p"/>
              </m:rPr>
              <m:t>surrogate</m:t>
            </m:r>
          </m:sub>
        </m:sSub>
        <m:r>
          <m:rPr>
            <m:sty m:val="p"/>
          </m:rPr>
          <m:t>=</m:t>
        </m:r>
        <m:r>
          <m:t>9.73</m:t>
        </m:r>
      </m:oMath>
      <w:r>
        <w:t xml:space="preserve"> </w:t>
      </w:r>
      <w:r>
        <w:t xml:space="preserve">to</w:t>
      </w:r>
      <w:r>
        <w:t xml:space="preserve"> </w:t>
      </w:r>
      <m:oMath>
        <m:sSub>
          <m:e>
            <m:r>
              <m:t>D</m:t>
            </m:r>
          </m:e>
          <m:sub>
            <m:r>
              <m:rPr>
                <m:nor/>
                <m:sty m:val="p"/>
              </m:rPr>
              <m:t>DFT</m:t>
            </m:r>
          </m:sub>
        </m:sSub>
        <m:r>
          <m:rPr>
            <m:sty m:val="p"/>
          </m:rPr>
          <m:t>=</m:t>
        </m:r>
        <m:r>
          <m:t>6.28</m:t>
        </m:r>
      </m:oMath>
      <w:r>
        <w:t xml:space="preserve"> km/s under DFT audit (a 3.5 km/s surrogate artefact); REINVENT 4 generates novel high-N heterocycles but peaks at</w:t>
      </w:r>
      <w:r>
        <w:t xml:space="preserve"> </w:t>
      </w:r>
      <m:oMath>
        <m:r>
          <m:t>D</m:t>
        </m:r>
        <m:r>
          <m:rPr>
            <m:sty m:val="p"/>
          </m:rPr>
          <m:t>=</m:t>
        </m:r>
        <m:r>
          <m:t>9.02</m:t>
        </m:r>
      </m:oMath>
      <w:r>
        <w:t xml:space="preserve"> km/s. A second lead, E1 (4-nitro-1,2,3,5-oxatriazole), reaches</w:t>
      </w:r>
      <w:r>
        <w:t xml:space="preserve"> </w:t>
      </w:r>
      <m:oMath>
        <m:sSub>
          <m:e>
            <m:r>
              <m:t>D</m:t>
            </m:r>
          </m:e>
          <m:sub>
            <m:r>
              <m:rPr>
                <m:nor/>
                <m:sty m:val="p"/>
              </m:rPr>
              <m:t>K-J,cal</m:t>
            </m:r>
          </m:sub>
        </m:sSub>
        <m:r>
          <m:rPr>
            <m:sty m:val="p"/>
          </m:rPr>
          <m:t>=</m:t>
        </m:r>
        <m:r>
          <m:t>9.00</m:t>
        </m:r>
      </m:oMath>
      <w:r>
        <w:t xml:space="preserve"> km/s from a chemically distinct scaffold family, pending thermal stability confirmation and an oxatriazole-class DFT anchor (§6). The tier-gating recipe is domain-agnostic; only the validation funnel changes per application.</w:t>
      </w:r>
    </w:p>
    <w:p>
      <w:pPr>
        <w:pStyle w:val="BodyText"/>
        <w:jc w:val="center"/>
        <w:keepNext/>
        <w:keepLines/>
        <w:widowControl w:val="1"/>
      </w:pPr>
      <w:r>
        <w:drawing>
          <wp:inline>
            <wp:extent cx="5943600" cy="1827657"/>
            <wp:effectExtent b="0" l="0" r="0" t="0"/>
            <wp:docPr descr="Headline figure: novelty vs predicted properties" title="" id="13" name="Picture"/>
            <a:graphic>
              <a:graphicData uri="http://schemas.openxmlformats.org/drawingml/2006/picture">
                <pic:pic>
                  <pic:nvPicPr>
                    <pic:cNvPr descr="figs/novelty_vs_D.png" id="14" name="Picture"/>
                    <pic:cNvPicPr>
                      <a:picLocks noChangeArrowheads="1" noChangeAspect="1"/>
                    </pic:cNvPicPr>
                  </pic:nvPicPr>
                  <pic:blipFill>
                    <a:blip r:embed="rId12"/>
                    <a:stretch>
                      <a:fillRect/>
                    </a:stretch>
                  </pic:blipFill>
                  <pic:spPr bwMode="auto">
                    <a:xfrm>
                      <a:off x="0" y="0"/>
                      <a:ext cx="5943600" cy="1827657"/>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w:t>
      </w:r>
      <w:r>
        <w:t xml:space="preserve"> </w:t>
      </w:r>
      <w:r>
        <w:t xml:space="preserve">Top-1 candidate per method against novelty on three property axes (</w:t>
      </w:r>
      <m:oMath>
        <m:r>
          <m:t>D</m:t>
        </m:r>
      </m:oMath>
      <w:r>
        <w:t xml:space="preserve">,</w:t>
      </w:r>
      <w:r>
        <w:t xml:space="preserve"> </w:t>
      </w:r>
      <m:oMath>
        <m:r>
          <m:t>ρ</m:t>
        </m:r>
      </m:oMath>
      <w:r>
        <w:t xml:space="preserve">,</w:t>
      </w:r>
      <w:r>
        <w:t xml:space="preserve"> </w:t>
      </w:r>
      <m:oMath>
        <m:r>
          <m:t>P</m:t>
        </m:r>
      </m:oMath>
      <w:r>
        <w:t xml:space="preserve">). DGLD (blue, 7 settings × 3 seeds) clears the novelty floor (max-Tanimoto &lt; 0.55) on every axis and lands in the HMX-class band. SMILES-LSTM (red X) is exact rediscovery (Tanimoto = 1.0); MolMIM 70 M (gold) is novel but at</w:t>
      </w:r>
      <w:r>
        <w:t xml:space="preserve"> </w:t>
      </w:r>
      <m:oMath>
        <m:r>
          <m:t>D</m:t>
        </m:r>
        <m:r>
          <m:rPr>
            <m:sty m:val="p"/>
          </m:rPr>
          <m:t>=</m:t>
        </m:r>
        <m:r>
          <m:t>7.70</m:t>
        </m:r>
      </m:oMath>
      <w:r>
        <w:t xml:space="preserve"> km/s; REINVENT 4 (green square) reaches</w:t>
      </w:r>
      <w:r>
        <w:t xml:space="preserve"> </w:t>
      </w:r>
      <m:oMath>
        <m:r>
          <m:t>D</m:t>
        </m:r>
        <m:r>
          <m:rPr>
            <m:sty m:val="p"/>
          </m:rPr>
          <m:t>=</m:t>
        </m:r>
        <m:r>
          <m:t>9.02</m:t>
        </m:r>
      </m:oMath>
      <w:r>
        <w:t xml:space="preserve"> km/s at novelty 0.43 (Table 8); SELFIES-GA (purple) shows a surrogate-to-DFT collapse on the</w:t>
      </w:r>
      <w:r>
        <w:t xml:space="preserve"> </w:t>
      </w:r>
      <m:oMath>
        <m:r>
          <m:t>D</m:t>
        </m:r>
      </m:oMath>
      <w:r>
        <w:t xml:space="preserve"> </w:t>
      </w:r>
      <w:r>
        <w:t xml:space="preserve">panel inset (</w:t>
      </w:r>
      <m:oMath>
        <m:r>
          <m:t>D</m:t>
        </m:r>
        <m:r>
          <m:rPr>
            <m:sty m:val="p"/>
          </m:rPr>
          <m:t>=</m:t>
        </m:r>
        <m:r>
          <m:t>9.73</m:t>
        </m:r>
        <m:r>
          <m:rPr>
            <m:sty m:val="p"/>
          </m:rPr>
          <m:t>→</m:t>
        </m:r>
        <m:r>
          <m:t>6.28</m:t>
        </m:r>
      </m:oMath>
      <w:r>
        <w:t xml:space="preserve"> km/s). Marker area encodes</w:t>
      </w:r>
      <w:r>
        <w:t xml:space="preserve"> </w:t>
      </w:r>
      <m:oMath>
        <m:r>
          <m:rPr>
            <m:sty m:val="p"/>
          </m:rPr>
          <m:t>(</m:t>
        </m:r>
        <m:r>
          <m:t>1</m:t>
        </m:r>
        <m:r>
          <m:rPr>
            <m:sty m:val="p"/>
          </m:rPr>
          <m:t>−</m:t>
        </m:r>
        <m:r>
          <m:rPr>
            <m:nor/>
            <m:sty m:val="p"/>
          </m:rPr>
          <m:t>memorisation rate</m:t>
        </m:r>
        <m:r>
          <m:rPr>
            <m:sty m:val="p"/>
          </m:rPr>
          <m:t>)</m:t>
        </m:r>
      </m:oMath>
      <w:r>
        <w:t xml:space="preserve">, shrinking SMILES-LSTM and SELFIES-GA. Literature anchors (RDX/HMX/CL-20/TATB/PETN) at novelty = 0 (grey triangles); green-tinted upper-right quadrant is the productive zone.</w:t>
      </w:r>
    </w:p>
    <w:p>
      <w:pPr>
        <w:pStyle w:val="BodyText"/>
        <w:jc w:val="both"/>
        <w:keepNext w:val="0"/>
        <w:keepLines w:val="0"/>
        <w:widowControl w:val="1"/>
      </w:pPr>
      <w:r>
        <w:rPr>
          <w:b/>
          <w:bCs/>
        </w:rPr>
        <w:t xml:space="preserve">Note on Fig 1.</w:t>
      </w:r>
      <w:r>
        <w:t xml:space="preserve"> </w:t>
      </w:r>
      <w:r>
        <w:t xml:space="preserve">Hz-C2 top-1 surrogate values (3D-CNN scale):</w:t>
      </w:r>
      <w:r>
        <w:t xml:space="preserve"> </w:t>
      </w:r>
      <m:oMath>
        <m:r>
          <m:t>D</m:t>
        </m:r>
      </m:oMath>
      <w:r>
        <w:t xml:space="preserve"> </w:t>
      </w:r>
      <w:r>
        <w:t xml:space="preserve">= 9.39 km/s,</w:t>
      </w:r>
      <w:r>
        <w:t xml:space="preserve"> </w:t>
      </w:r>
      <m:oMath>
        <m:r>
          <m:t>P</m:t>
        </m:r>
      </m:oMath>
      <w:r>
        <w:t xml:space="preserve"> </w:t>
      </w:r>
      <w:r>
        <w:t xml:space="preserve">= 38.7 GPa, within 5% of the strict targets. On the 6-anchor-calibrated K-J scale L1 reaches</w:t>
      </w:r>
      <w:r>
        <w:t xml:space="preserve"> </w:t>
      </w:r>
      <m:oMath>
        <m:sSub>
          <m:e>
            <m:r>
              <m:t>D</m:t>
            </m:r>
          </m:e>
          <m:sub>
            <m:r>
              <m:rPr>
                <m:nor/>
                <m:sty m:val="p"/>
              </m:rPr>
              <m:t>K-J,cal</m:t>
            </m:r>
          </m:sub>
        </m:sSub>
      </m:oMath>
      <w:r>
        <w:t xml:space="preserve"> </w:t>
      </w:r>
      <w:r>
        <w:t xml:space="preserve">= 8.25 km/s and</w:t>
      </w:r>
      <w:r>
        <w:t xml:space="preserve"> </w:t>
      </w:r>
      <m:oMath>
        <m:sSub>
          <m:e>
            <m:r>
              <m:t>P</m:t>
            </m:r>
          </m:e>
          <m:sub>
            <m:r>
              <m:rPr>
                <m:nor/>
                <m:sty m:val="p"/>
              </m:rPr>
              <m:t>K-J,cal</m:t>
            </m:r>
          </m:sub>
        </m:sSub>
      </m:oMath>
      <w:r>
        <w:t xml:space="preserve"> </w:t>
      </w:r>
      <w:r>
        <w:t xml:space="preserve">= 32.9 GPa, slightly below the strict thresholds but in the HMX-class band by anchor-relative ranking.</w:t>
      </w:r>
    </w:p>
    <w:p>
      <w:pPr>
        <w:pStyle w:val="Compact"/>
        <w:numPr>
          <w:ilvl w:val="0"/>
          <w:numId w:val="1001"/>
        </w:numPr>
        <w:jc w:val="both"/>
        <w:keepNext w:val="0"/>
        <w:keepLines w:val="0"/>
        <w:widowControl w:val="1"/>
      </w:pPr>
      <w:r>
        <w:rPr>
          <w:b/>
          <w:bCs/>
        </w:rPr>
        <w:t xml:space="preserve">A tier-gated training recipe for sparse-label molecular generation.</w:t>
      </w:r>
      <w:r>
        <w:t xml:space="preserve"> </w:t>
      </w:r>
      <w:r>
        <w:t xml:space="preserve">A four-tier label-trust hierarchy gates which examples drive the conditional gradient (experimental and DFT labels) and which train only the unconditional prior (Kamlet–Jacobs and surrogate labels), preventing low-confidence data from corrupting the targeted generation signal. The recipe is domain-agnostic; only the validation funnel changes per application.</w:t>
      </w:r>
    </w:p>
    <w:p>
      <w:pPr>
        <w:pStyle w:val="Compact"/>
        <w:numPr>
          <w:ilvl w:val="0"/>
          <w:numId w:val="1001"/>
        </w:numPr>
        <w:jc w:val="both"/>
        <w:keepNext w:val="0"/>
        <w:keepLines w:val="0"/>
        <w:widowControl w:val="1"/>
      </w:pPr>
      <w:r>
        <w:rPr>
          <w:b/>
          <w:bCs/>
        </w:rPr>
        <w:t xml:space="preserve">A multi-task score model with selectable sample-time steering.</w:t>
      </w:r>
      <w:r>
        <w:t xml:space="preserve"> </w:t>
      </w:r>
      <w:r>
        <w:t xml:space="preserve">Six heads share a single trunk trained jointly over viability, sensitivity, hazard, performance, and two synthesis-complexity signals. At sample time, three heads supply per-step gradient steering on the latent; per-head scales act as on/off switches over chemistry classes without retraining the diffusion backbone.</w:t>
      </w:r>
    </w:p>
    <w:p>
      <w:pPr>
        <w:pStyle w:val="Compact"/>
        <w:numPr>
          <w:ilvl w:val="0"/>
          <w:numId w:val="1001"/>
        </w:numPr>
        <w:jc w:val="both"/>
        <w:keepNext w:val="0"/>
        <w:keepLines w:val="0"/>
        <w:widowControl w:val="1"/>
      </w:pPr>
      <w:r>
        <w:rPr>
          <w:b/>
          <w:bCs/>
        </w:rPr>
        <w:t xml:space="preserve">Self-distillation refinement of the viability head.</w:t>
      </w:r>
      <w:r>
        <w:t xml:space="preserve"> </w:t>
      </w:r>
      <w:r>
        <w:t xml:space="preserve">The viability head is refined by mining the model's own false-positive outputs as hard negatives against a chemist-defined held-out probe; the production budget-918 checkpoint is round 2 of self-distillation (round 0 = score-model trained on corpus only with Random-Forest-derived viability labels and 0 hard negatives, round 1 = corpus + 137 mined hard negatives, round 2 = corpus + 918 cumulative hard negatives + aromatic-heterocycle boost), closing the gap between the Random Forest teacher's class boundary and the latent regions the sampler actually inhabits.</w:t>
      </w:r>
    </w:p>
    <w:p>
      <w:pPr>
        <w:pStyle w:val="Compact"/>
        <w:numPr>
          <w:ilvl w:val="0"/>
          <w:numId w:val="1001"/>
        </w:numPr>
        <w:jc w:val="both"/>
        <w:keepNext w:val="0"/>
        <w:keepLines w:val="0"/>
        <w:widowControl w:val="1"/>
      </w:pPr>
      <w:r>
        <w:rPr>
          <w:b/>
          <w:bCs/>
        </w:rPr>
        <w:t xml:space="preserve">Pool-fusion sampling for scaffold diversity.</w:t>
      </w:r>
      <w:r>
        <w:t xml:space="preserve"> </w:t>
      </w:r>
      <w:r>
        <w:t xml:space="preserve">Independent end-to-end sampling lanes (differentiated by denoiser checkpoint, conditioning targets, and guidance configuration) are unioned and deduplicated post-decode, making each axis an orthogonal diversity lever without increasing per-lane compute.</w:t>
      </w:r>
    </w:p>
    <w:p>
      <w:pPr>
        <w:pStyle w:val="Compact"/>
        <w:numPr>
          <w:ilvl w:val="0"/>
          <w:numId w:val="1001"/>
        </w:numPr>
        <w:jc w:val="both"/>
        <w:keepNext w:val="0"/>
        <w:keepLines w:val="0"/>
        <w:widowControl w:val="1"/>
      </w:pPr>
      <w:r>
        <w:rPr>
          <w:b/>
          <w:bCs/>
        </w:rPr>
        <w:t xml:space="preserve">DFT-validated novel HMX-class candidates.</w:t>
      </w:r>
      <w:r>
        <w:t xml:space="preserve"> </w:t>
      </w:r>
      <w:r>
        <w:t xml:space="preserve">Twelve chem-pass leads are confirmed as true local minima under B3LYP/6-31G(d) and calibrated against six reference compounds under</w:t>
      </w:r>
      <w:r>
        <w:t xml:space="preserve"> </w:t>
      </w:r>
      <m:oMath>
        <m:r>
          <m:t>ω</m:t>
        </m:r>
      </m:oMath>
      <w:r>
        <w:t xml:space="preserve">B97X-D3BJ/def2-TZVP. Lead L1 (trinitro-1,2-isoxazole) is absent from PubChem and the 65 980-row labelled master (max-Tanimoto 0.27); DFT-calibrated:</w:t>
      </w:r>
      <w:r>
        <w:t xml:space="preserve"> </w:t>
      </w:r>
      <m:oMath>
        <m:sSub>
          <m:e>
            <m:r>
              <m:t>ρ</m:t>
            </m:r>
          </m:e>
          <m:sub>
            <m:r>
              <m:rPr>
                <m:nor/>
                <m:sty m:val="p"/>
              </m:rPr>
              <m:t>cal</m:t>
            </m:r>
          </m:sub>
        </m:sSub>
        <m:r>
          <m:rPr>
            <m:sty m:val="p"/>
          </m:rPr>
          <m:t>=</m:t>
        </m:r>
        <m:r>
          <m:t>2.09</m:t>
        </m:r>
      </m:oMath>
      <w:r>
        <w:t xml:space="preserve"> g/cm</w:t>
      </w:r>
      <w:r>
        <w:rPr>
          <w:vertAlign w:val="superscript"/>
        </w:rPr>
        <w:t xml:space="preserve">3</w:t>
      </w:r>
      <w:r>
        <w:t xml:space="preserve">,</w:t>
      </w:r>
      <w:r>
        <w:t xml:space="preserve"> </w:t>
      </w:r>
      <m:oMath>
        <m:sSub>
          <m:e>
            <m:r>
              <m:t>D</m:t>
            </m:r>
          </m:e>
          <m:sub>
            <m:r>
              <m:rPr>
                <m:nor/>
                <m:sty m:val="p"/>
              </m:rPr>
              <m:t>K-J,cal</m:t>
            </m:r>
          </m:sub>
        </m:sSub>
        <m:r>
          <m:rPr>
            <m:sty m:val="p"/>
          </m:rPr>
          <m:t>=</m:t>
        </m:r>
        <m:r>
          <m:t>8.25</m:t>
        </m:r>
      </m:oMath>
      <w:r>
        <w:t xml:space="preserve"> km/s; 3D-CNN surrogate:</w:t>
      </w:r>
      <w:r>
        <w:t xml:space="preserve"> </w:t>
      </w:r>
      <m:oMath>
        <m:r>
          <m:t>D</m:t>
        </m:r>
        <m:r>
          <m:rPr>
            <m:sty m:val="p"/>
          </m:rPr>
          <m:t>=</m:t>
        </m:r>
        <m:r>
          <m:t>9.56</m:t>
        </m:r>
      </m:oMath>
      <w:r>
        <w:t xml:space="preserve"> km/s (see §5.3 for K-J relative-ranking basis). E1 (1,2,3,5-oxatriazole family,</w:t>
      </w:r>
      <w:r>
        <w:t xml:space="preserve"> </w:t>
      </w:r>
      <m:oMath>
        <m:sSub>
          <m:e>
            <m:r>
              <m:t>D</m:t>
            </m:r>
          </m:e>
          <m:sub>
            <m:r>
              <m:rPr>
                <m:nor/>
                <m:sty m:val="p"/>
              </m:rPr>
              <m:t>K-J,cal</m:t>
            </m:r>
          </m:sub>
        </m:sSub>
        <m:r>
          <m:rPr>
            <m:sty m:val="p"/>
          </m:rPr>
          <m:t>=</m:t>
        </m:r>
        <m:r>
          <m:t>9.00</m:t>
        </m:r>
      </m:oMath>
      <w:r>
        <w:t xml:space="preserve"> km/s) is a further lead from a chemically distinct family, pending addition of an oxatriazole-class DFT anchor (§6); the extension set spans eight Bemis–Murcko scaffolds across six chemotype families.</w:t>
      </w:r>
    </w:p>
    <w:p>
      <w:pPr>
        <w:pStyle w:val="BodyText"/>
        <w:jc w:val="center"/>
        <w:keepNext/>
        <w:keepLines/>
        <w:widowControl w:val="1"/>
      </w:pPr>
      <w:r>
        <w:drawing>
          <wp:inline>
            <wp:extent cx="5943600" cy="2403443"/>
            <wp:effectExtent b="0" l="0" r="0" t="0"/>
            <wp:docPr descr="Top leads in the (D,P) plane" title="" id="16" name="Picture"/>
            <a:graphic>
              <a:graphicData uri="http://schemas.openxmlformats.org/drawingml/2006/picture">
                <pic:pic>
                  <pic:nvPicPr>
                    <pic:cNvPr descr="figs/fig3_leads_dp_plane.png" id="17" name="Picture"/>
                    <pic:cNvPicPr>
                      <a:picLocks noChangeArrowheads="1" noChangeAspect="1"/>
                    </pic:cNvPicPr>
                  </pic:nvPicPr>
                  <pic:blipFill>
                    <a:blip r:embed="rId15"/>
                    <a:stretch>
                      <a:fillRect/>
                    </a:stretch>
                  </pic:blipFill>
                  <pic:spPr bwMode="auto">
                    <a:xfrm>
                      <a:off x="0" y="0"/>
                      <a:ext cx="5943600" cy="240344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w:t>
      </w:r>
      <w:r>
        <w:t xml:space="preserve"> </w:t>
      </w:r>
      <w:r>
        <w:t xml:space="preserve">Top-200 leads from the pool=40k joint rerank in the (</w:t>
      </w:r>
      <m:oMath>
        <m:r>
          <m:t>D</m:t>
        </m:r>
      </m:oMath>
      <w:r>
        <w:t xml:space="preserve">,</w:t>
      </w:r>
      <w:r>
        <w:t xml:space="preserve"> </w:t>
      </w:r>
      <m:oMath>
        <m:r>
          <m:t>P</m:t>
        </m:r>
      </m:oMath>
      <w:r>
        <w:t xml:space="preserve">) plane. Panel A colours each point by predicted density</w:t>
      </w:r>
      <w:r>
        <w:t xml:space="preserve"> </w:t>
      </w:r>
      <m:oMath>
        <m:r>
          <m:t>ρ</m:t>
        </m:r>
      </m:oMath>
      <w:r>
        <w:t xml:space="preserve"> </w:t>
      </w:r>
      <w:r>
        <w:t xml:space="preserve">(viridis); panel B by novelty (1 minus max Morgan-FP-2 Tanimoto to the labelled master, plasma 0–1). Anchors and target lines</w:t>
      </w:r>
      <w:r>
        <w:t xml:space="preserve"> </w:t>
      </w:r>
      <m:oMath>
        <m:r>
          <m:t>D</m:t>
        </m:r>
        <m:r>
          <m:rPr>
            <m:sty m:val="p"/>
          </m:rPr>
          <m:t>=</m:t>
        </m:r>
        <m:r>
          <m:t>9.5</m:t>
        </m:r>
      </m:oMath>
      <w:r>
        <w:t xml:space="preserve"> km/s,</w:t>
      </w:r>
      <w:r>
        <w:t xml:space="preserve"> </w:t>
      </w:r>
      <m:oMath>
        <m:r>
          <m:t>P</m:t>
        </m:r>
        <m:r>
          <m:rPr>
            <m:sty m:val="p"/>
          </m:rPr>
          <m:t>=</m:t>
        </m:r>
        <m:r>
          <m:t>40</m:t>
        </m:r>
      </m:oMath>
      <w:r>
        <w:t xml:space="preserve"> GPa overlay both panels.</w:t>
      </w:r>
    </w:p>
    <w:bookmarkEnd w:id="18"/>
    <w:bookmarkStart w:id="27" w:name="sec-related"/>
    <w:p>
      <w:pPr>
        <w:pStyle w:val="Heading2"/>
        <w:keepNext/>
        <w:keepLines/>
        <w:widowControl w:val="1"/>
      </w:pPr>
      <w:r>
        <w:t xml:space="preserve">2. Related work</w:t>
      </w:r>
    </w:p>
    <w:p>
      <w:pPr>
        <w:pStyle w:val="FirstParagraph"/>
        <w:jc w:val="both"/>
        <w:keepNext w:val="0"/>
        <w:keepLines w:val="0"/>
        <w:widowControl w:val="1"/>
      </w:pPr>
      <w:r>
        <w:t xml:space="preserve">DGLD sits at the intersection of three lines of work: molecular generative modelling, diffusion models with classifier-style guidance, and property prediction for energetic materials. The central contribution being positioned is property-targeted molecular generation under tier-stratified labels, with end-to-end first-principles audit (DFT) on energetic chemistry. The literature reviewed below either supplies a building block we adopt (LIMO encoder, classifier-free guidance, FiLM conditioning, GFN2-xTB and PySCF for validation), defines a baseline we compare against (MolMIM, MOSES-style benchmarks), or stakes out a neighbouring problem domain (3D pocket-conditioned diffusion, drug-like generative benchmarking) whose techniques we deliberately do not transplant into the energetic-materials regime. We close the section by stating explicitly which gap DGLD fills.</w:t>
      </w:r>
    </w:p>
    <w:bookmarkStart w:id="19" w:name="molecular-generative-models"/>
    <w:p>
      <w:pPr>
        <w:pStyle w:val="Heading3"/>
        <w:keepNext/>
        <w:keepLines/>
        <w:widowControl w:val="1"/>
      </w:pPr>
      <w:r>
        <w:t xml:space="preserve">2.1 Molecular generative models</w:t>
      </w:r>
    </w:p>
    <w:p>
      <w:pPr>
        <w:pStyle w:val="FirstParagraph"/>
        <w:jc w:val="both"/>
        <w:keepNext w:val="0"/>
        <w:keepLines w:val="0"/>
        <w:widowControl w:val="1"/>
      </w:pPr>
      <w:r>
        <w:t xml:space="preserve">VAE-based molecular generators learn a continuous latent over SMILES, SELFIES, or molecular graphs and navigate it for property optimisation. Gómez-Bombarelli et al.</w:t>
      </w:r>
      <w:r>
        <w:t xml:space="preserve"> </w:t>
      </w:r>
      <w:hyperlink w:anchor="ref-gomez2018automatic">
        <w:r>
          <w:rPr>
            <w:rStyle w:val="Hyperlink"/>
          </w:rPr>
          <w:t xml:space="preserve">[gomez2018]</w:t>
        </w:r>
      </w:hyperlink>
      <w:r>
        <w:t xml:space="preserve"> </w:t>
      </w:r>
      <w:r>
        <w:t xml:space="preserve">introduced the encoder/decoder recipe over SMILES; the Junction-Tree VAE of Jin, Barzilay and Jaakkola</w:t>
      </w:r>
      <w:r>
        <w:t xml:space="preserve"> </w:t>
      </w:r>
      <w:hyperlink w:anchor="ref-jin2018junction">
        <w:r>
          <w:rPr>
            <w:rStyle w:val="Hyperlink"/>
          </w:rPr>
          <w:t xml:space="preserve">[jin2018]</w:t>
        </w:r>
      </w:hyperlink>
      <w:r>
        <w:t xml:space="preserve"> </w:t>
      </w:r>
      <w:r>
        <w:t xml:space="preserve">moved the latent up to fragment graphs to guarantee chemical validity; CDDD</w:t>
      </w:r>
      <w:r>
        <w:t xml:space="preserve"> </w:t>
      </w:r>
      <w:hyperlink w:anchor="ref-winter2019cddd">
        <w:r>
          <w:rPr>
            <w:rStyle w:val="Hyperlink"/>
          </w:rPr>
          <w:t xml:space="preserve">[winter2019]</w:t>
        </w:r>
      </w:hyperlink>
      <w:r>
        <w:t xml:space="preserve"> </w:t>
      </w:r>
      <w:r>
        <w:t xml:space="preserve">learned the latent by translating between equivalent string representations and showed that the resulting descriptors transfer to property prediction; Mol-CycleGAN</w:t>
      </w:r>
      <w:r>
        <w:t xml:space="preserve"> </w:t>
      </w:r>
      <w:hyperlink w:anchor="ref-maziarka2020molcyclegan">
        <w:r>
          <w:rPr>
            <w:rStyle w:val="Hyperlink"/>
          </w:rPr>
          <w:t xml:space="preserve">[maziarka2020]</w:t>
        </w:r>
      </w:hyperlink>
      <w:r>
        <w:t xml:space="preserve"> </w:t>
      </w:r>
      <w:r>
        <w:t xml:space="preserve">reframed property optimisation as image-to-image translation between molecule sets. SELFIES</w:t>
      </w:r>
      <w:r>
        <w:t xml:space="preserve"> </w:t>
      </w:r>
      <w:hyperlink w:anchor="ref-krenn2020selfies">
        <w:r>
          <w:rPr>
            <w:rStyle w:val="Hyperlink"/>
          </w:rPr>
          <w:t xml:space="preserve">[krenn2020]</w:t>
        </w:r>
      </w:hyperlink>
      <w:r>
        <w:t xml:space="preserve"> </w:t>
      </w:r>
      <w:r>
        <w:t xml:space="preserve">replaced SMILES with a syntactically robust string representation in which every token sequence decodes to a valid graph, and is the representation we adopt at the encoder boundary.</w:t>
      </w:r>
    </w:p>
    <w:p>
      <w:pPr>
        <w:pStyle w:val="BodyText"/>
        <w:jc w:val="both"/>
        <w:keepNext w:val="0"/>
        <w:keepLines w:val="0"/>
        <w:widowControl w:val="1"/>
      </w:pPr>
      <w:r>
        <w:t xml:space="preserve">Two more recent latent generators are particularly relevant to DGLD. LIMO</w:t>
      </w:r>
      <w:r>
        <w:t xml:space="preserve"> </w:t>
      </w:r>
      <w:hyperlink w:anchor="ref-eckmann2022limo">
        <w:r>
          <w:rPr>
            <w:rStyle w:val="Hyperlink"/>
          </w:rPr>
          <w:t xml:space="preserve">[eckmann2022]</w:t>
        </w:r>
      </w:hyperlink>
      <w:r>
        <w:t xml:space="preserve"> </w:t>
      </w:r>
      <w:r>
        <w:t xml:space="preserve">couples an MLP-VAE over SELFIES with a non-autoregressive decoder, factoring decoding through a per-position categorical so that gradient-based latent optimisation does not have to differentiate through autoregressive sampling; LIMO is the encoder we fine-tune. MolMIM</w:t>
      </w:r>
      <w:r>
        <w:t xml:space="preserve"> </w:t>
      </w:r>
      <w:hyperlink w:anchor="ref-reidenbach2023molmim">
        <w:r>
          <w:rPr>
            <w:rStyle w:val="Hyperlink"/>
          </w:rPr>
          <w:t xml:space="preserve">[reidenbach2023]</w:t>
        </w:r>
      </w:hyperlink>
      <w:r>
        <w:t xml:space="preserve"> </w:t>
      </w:r>
      <w:r>
        <w:t xml:space="preserve">trains a Perceiver-encoder</w:t>
      </w:r>
      <w:r>
        <w:t xml:space="preserve"> </w:t>
      </w:r>
      <w:hyperlink w:anchor="ref-jaegle2021perceiver">
        <w:r>
          <w:rPr>
            <w:rStyle w:val="Hyperlink"/>
          </w:rPr>
          <w:t xml:space="preserve">[jaegle2021]</w:t>
        </w:r>
      </w:hyperlink>
      <w:r>
        <w:t xml:space="preserve"> </w:t>
      </w:r>
      <w:r>
        <w:t xml:space="preserve">mutual-information VAE on billion-scale SMILES and provides a strong no-diffusion baseline against which our latent-diffusion prior is compared.</w:t>
      </w:r>
    </w:p>
    <w:p>
      <w:pPr>
        <w:pStyle w:val="BodyText"/>
        <w:jc w:val="both"/>
        <w:keepNext w:val="0"/>
        <w:keepLines w:val="0"/>
        <w:widowControl w:val="1"/>
      </w:pPr>
      <w:r>
        <w:t xml:space="preserve">Language-modelling approaches treat SMILES directly as a string. REINVENT</w:t>
      </w:r>
      <w:r>
        <w:t xml:space="preserve"> </w:t>
      </w:r>
      <w:hyperlink w:anchor="ref-olivecrona2017reinvent">
        <w:r>
          <w:rPr>
            <w:rStyle w:val="Hyperlink"/>
          </w:rPr>
          <w:t xml:space="preserve">[olivecrona2017]</w:t>
        </w:r>
      </w:hyperlink>
      <w:r>
        <w:t xml:space="preserve"> </w:t>
      </w:r>
      <w:r>
        <w:t xml:space="preserve">trained a recurrent generator on SMILES and biased it toward design objectives via reinforcement learning; Loeffler et al.</w:t>
      </w:r>
      <w:r>
        <w:t xml:space="preserve"> </w:t>
      </w:r>
      <w:hyperlink w:anchor="ref-loeffler2024reinvent4">
        <w:r>
          <w:rPr>
            <w:rStyle w:val="Hyperlink"/>
          </w:rPr>
          <w:t xml:space="preserve">[loeffler2024]</w:t>
        </w:r>
      </w:hyperlink>
      <w:r>
        <w:t xml:space="preserve"> </w:t>
      </w:r>
      <w:r>
        <w:t xml:space="preserve">describe REINVENT 4, the modern evolution that integrates multiple generator architectures (de novo RNN, scaffold decoration, fragment linking, Mol2Mol transformer) within a unified staged RL/CL framework with a plugin scoring subsystem, and is used here as an RL-based comparative baseline. REINVENT 4 biases generation via a policy-gradient reward signal over a pretrained prior; DGLD instead learns a conditional prior through latent diffusion, separating prior learning (training) from property steering (guidance), and requires no RL reward engineering at generation time. Several REINVENT 4 mechanisms are inspirationally relevant: the diversity filter (Murcko scaffold bucketing) is analogous to our Tanimoto novelty window; staged learning mirrors our guidance-weight annealing schedule. ChemTS</w:t>
      </w:r>
      <w:r>
        <w:t xml:space="preserve"> </w:t>
      </w:r>
      <w:hyperlink w:anchor="ref-yang2017chemts">
        <w:r>
          <w:rPr>
            <w:rStyle w:val="Hyperlink"/>
          </w:rPr>
          <w:t xml:space="preserve">[yang2017]</w:t>
        </w:r>
      </w:hyperlink>
      <w:r>
        <w:t xml:space="preserve"> </w:t>
      </w:r>
      <w:r>
        <w:t xml:space="preserve">combined an RNN prior with Monte-Carlo tree search; MolGPT</w:t>
      </w:r>
      <w:r>
        <w:t xml:space="preserve"> </w:t>
      </w:r>
      <w:hyperlink w:anchor="ref-bagal2022molgpt">
        <w:r>
          <w:rPr>
            <w:rStyle w:val="Hyperlink"/>
          </w:rPr>
          <w:t xml:space="preserve">[bagal2022]</w:t>
        </w:r>
      </w:hyperlink>
      <w:r>
        <w:t xml:space="preserve"> </w:t>
      </w:r>
      <w:r>
        <w:t xml:space="preserve">applied a GPT-style decoder with property tokens prepended for control. MoLFormer-XL</w:t>
      </w:r>
      <w:r>
        <w:t xml:space="preserve"> </w:t>
      </w:r>
      <w:hyperlink w:anchor="ref-ross2022molformer">
        <w:r>
          <w:rPr>
            <w:rStyle w:val="Hyperlink"/>
          </w:rPr>
          <w:t xml:space="preserve">[ross2022]</w:t>
        </w:r>
      </w:hyperlink>
      <w:r>
        <w:t xml:space="preserve"> </w:t>
      </w:r>
      <w:r>
        <w:t xml:space="preserve">and Chemformer</w:t>
      </w:r>
      <w:r>
        <w:t xml:space="preserve"> </w:t>
      </w:r>
      <w:hyperlink w:anchor="ref-irwin2022chemformer">
        <w:r>
          <w:rPr>
            <w:rStyle w:val="Hyperlink"/>
          </w:rPr>
          <w:t xml:space="preserve">[irwin2022]</w:t>
        </w:r>
      </w:hyperlink>
      <w:r>
        <w:t xml:space="preserve"> </w:t>
      </w:r>
      <w:r>
        <w:t xml:space="preserve">showed that BERT/T5-style pretraining on hundreds of millions of SMILES yields representations that transfer cleanly to property-prediction tasks. The flow-network approach of Bengio et al.</w:t>
      </w:r>
      <w:r>
        <w:t xml:space="preserve"> </w:t>
      </w:r>
      <w:hyperlink w:anchor="ref-bengio2021gflownet">
        <w:r>
          <w:rPr>
            <w:rStyle w:val="Hyperlink"/>
          </w:rPr>
          <w:t xml:space="preserve">[bengio2021]</w:t>
        </w:r>
      </w:hyperlink>
      <w:r>
        <w:t xml:space="preserve"> </w:t>
      </w:r>
      <w:r>
        <w:t xml:space="preserve">reformulates non-iterative diverse candidate generation as flow matching over an implicit reward landscape and is conceptually closer to our guided sampling than to autoregressive language modelling. On the graph side, DiGress</w:t>
      </w:r>
      <w:r>
        <w:t xml:space="preserve"> </w:t>
      </w:r>
      <w:hyperlink w:anchor="ref-vignac2023digress">
        <w:r>
          <w:rPr>
            <w:rStyle w:val="Hyperlink"/>
          </w:rPr>
          <w:t xml:space="preserve">[vignac2023]</w:t>
        </w:r>
      </w:hyperlink>
      <w:r>
        <w:t xml:space="preserve"> </w:t>
      </w:r>
      <w:r>
        <w:t xml:space="preserve">performs discrete denoising diffusion directly on molecular graphs, achieving exact validity at the cost of having to re-introduce property conditioning via a separate guidance term.</w:t>
      </w:r>
    </w:p>
    <w:bookmarkEnd w:id="19"/>
    <w:bookmarkStart w:id="20" w:name="diffusion-models-and-classifier-guidance"/>
    <w:p>
      <w:pPr>
        <w:pStyle w:val="Heading3"/>
        <w:keepNext/>
        <w:keepLines/>
        <w:widowControl w:val="1"/>
      </w:pPr>
      <w:r>
        <w:t xml:space="preserve">2.2 Diffusion models and classifier guidance</w:t>
      </w:r>
    </w:p>
    <w:p>
      <w:pPr>
        <w:pStyle w:val="FirstParagraph"/>
        <w:jc w:val="both"/>
        <w:keepNext w:val="0"/>
        <w:keepLines w:val="0"/>
        <w:widowControl w:val="1"/>
      </w:pPr>
      <w:r>
        <w:t xml:space="preserve">Denoising diffusion probabilistic models</w:t>
      </w:r>
      <w:r>
        <w:t xml:space="preserve"> </w:t>
      </w:r>
      <w:hyperlink w:anchor="ref-ho2020ddpm">
        <w:r>
          <w:rPr>
            <w:rStyle w:val="Hyperlink"/>
          </w:rPr>
          <w:t xml:space="preserve">[ho2020]</w:t>
        </w:r>
      </w:hyperlink>
      <w:r>
        <w:t xml:space="preserve"> </w:t>
      </w:r>
      <w:r>
        <w:t xml:space="preserve">and the score-based formulation of Song and Ermon</w:t>
      </w:r>
      <w:r>
        <w:t xml:space="preserve"> </w:t>
      </w:r>
      <w:hyperlink w:anchor="ref-song2019score">
        <w:r>
          <w:rPr>
            <w:rStyle w:val="Hyperlink"/>
          </w:rPr>
          <w:t xml:space="preserve">[song2019]</w:t>
        </w:r>
      </w:hyperlink>
      <w:r>
        <w:t xml:space="preserve">, later unified through a stochastic-differential-equation perspective</w:t>
      </w:r>
      <w:r>
        <w:t xml:space="preserve"> </w:t>
      </w:r>
      <w:hyperlink w:anchor="ref-song2021sde">
        <w:r>
          <w:rPr>
            <w:rStyle w:val="Hyperlink"/>
          </w:rPr>
          <w:t xml:space="preserve">[song2021]</w:t>
        </w:r>
      </w:hyperlink>
      <w:r>
        <w:t xml:space="preserve">, define the generative-modelling family that DGLD builds on. Latent diffusion</w:t>
      </w:r>
      <w:r>
        <w:t xml:space="preserve"> </w:t>
      </w:r>
      <w:hyperlink w:anchor="ref-rombach2022ldm">
        <w:r>
          <w:rPr>
            <w:rStyle w:val="Hyperlink"/>
          </w:rPr>
          <w:t xml:space="preserve">[rombach2022]</w:t>
        </w:r>
      </w:hyperlink>
      <w:r>
        <w:t xml:space="preserve"> </w:t>
      </w:r>
      <w:r>
        <w:t xml:space="preserve">separates perceptual compression from prior modelling by running the diffusion process in the latent space of a frozen autoencoder, a recipe we transplant from images to molecules: the LIMO encoder fixes the latent geometry, and the diffusion model only has to learn the prior over that latent.</w:t>
      </w:r>
    </w:p>
    <w:p>
      <w:pPr>
        <w:pStyle w:val="BodyText"/>
        <w:jc w:val="both"/>
        <w:keepNext w:val="0"/>
        <w:keepLines w:val="0"/>
        <w:widowControl w:val="1"/>
      </w:pPr>
      <w:r>
        <w:t xml:space="preserve">For property control we adopt the classifier-free guidance scheme of Ho and Salimans</w:t>
      </w:r>
      <w:r>
        <w:t xml:space="preserve"> </w:t>
      </w:r>
      <w:hyperlink w:anchor="ref-ho2022cfg">
        <w:r>
          <w:rPr>
            <w:rStyle w:val="Hyperlink"/>
          </w:rPr>
          <w:t xml:space="preserve">[ho2022]</w:t>
        </w:r>
      </w:hyperlink>
      <w:r>
        <w:t xml:space="preserve">, in which a single denoiser is trained jointly with and without the conditioning signal and the conditioning gradient is reconstructed at sample time:</w:t>
      </w:r>
    </w:p>
    <w:p>
      <w:pPr>
        <w:pStyle w:val="BodyText"/>
      </w:pPr>
      <m:oMathPara>
        <m:oMathParaPr>
          <m:jc m:val="center"/>
        </m:oMathParaPr>
        <m:oMath>
          <m:sSub>
            <m:e>
              <m:acc>
                <m:accPr>
                  <m:chr m:val="̂"/>
                </m:accPr>
                <m:e>
                  <m:r>
                    <m:t>ϵ</m:t>
                  </m:r>
                </m:e>
              </m:acc>
            </m:e>
            <m:sub>
              <m:r>
                <m:t>θ</m:t>
              </m:r>
            </m:sub>
          </m:sSub>
          <m:r>
            <m:rPr>
              <m:sty m:val="p"/>
            </m:rPr>
            <m:t>(</m:t>
          </m:r>
          <m:sSub>
            <m:e>
              <m:r>
                <m:t>z</m:t>
              </m:r>
            </m:e>
            <m:sub>
              <m:r>
                <m:t>t</m:t>
              </m:r>
            </m:sub>
          </m:sSub>
          <m:r>
            <m:rPr>
              <m:sty m:val="p"/>
            </m:rPr>
            <m:t>,</m:t>
          </m:r>
          <m:r>
            <m:t>c</m:t>
          </m:r>
          <m:r>
            <m:rPr>
              <m:sty m:val="p"/>
            </m:rPr>
            <m:t>)</m:t>
          </m:r>
          <m:r>
            <m:t> </m:t>
          </m:r>
          <m:r>
            <m:rPr>
              <m:sty m:val="p"/>
            </m:rPr>
            <m:t>=</m:t>
          </m:r>
          <m:r>
            <m:t> </m:t>
          </m:r>
          <m:sSub>
            <m:e>
              <m:r>
                <m:t>ϵ</m:t>
              </m:r>
            </m:e>
            <m:sub>
              <m:r>
                <m:t>θ</m:t>
              </m:r>
            </m:sub>
          </m:sSub>
          <m:r>
            <m:rPr>
              <m:sty m:val="p"/>
            </m:rPr>
            <m:t>(</m:t>
          </m:r>
          <m:sSub>
            <m:e>
              <m:r>
                <m:t>z</m:t>
              </m:r>
            </m:e>
            <m:sub>
              <m:r>
                <m:t>t</m:t>
              </m:r>
            </m:sub>
          </m:sSub>
          <m:r>
            <m:rPr>
              <m:sty m:val="p"/>
            </m:rPr>
            <m:t>,</m:t>
          </m:r>
          <m:r>
            <m:rPr>
              <m:sty m:val="p"/>
            </m:rPr>
            <m:t>∅</m:t>
          </m:r>
          <m:r>
            <m:rPr>
              <m:sty m:val="p"/>
            </m:rPr>
            <m:t>)</m:t>
          </m:r>
          <m:r>
            <m:t> </m:t>
          </m:r>
          <m:r>
            <m:rPr>
              <m:sty m:val="p"/>
            </m:rPr>
            <m:t>+</m:t>
          </m:r>
          <m:r>
            <m:t> </m:t>
          </m:r>
          <m:r>
            <m:t>w</m:t>
          </m:r>
          <m:r>
            <m:rPr>
              <m:sty m:val="p"/>
            </m:rPr>
            <m:t>⋅</m:t>
          </m:r>
          <m:d>
            <m:dPr>
              <m:begChr m:val="("/>
              <m:sepChr m:val=""/>
              <m:endChr m:val=")"/>
              <m:grow/>
            </m:dPr>
            <m:e>
              <m:sSub>
                <m:e>
                  <m:r>
                    <m:t>ϵ</m:t>
                  </m:r>
                </m:e>
                <m:sub>
                  <m:r>
                    <m:t>θ</m:t>
                  </m:r>
                </m:sub>
              </m:sSub>
              <m:r>
                <m:rPr>
                  <m:sty m:val="p"/>
                </m:rPr>
                <m:t>(</m:t>
              </m:r>
              <m:sSub>
                <m:e>
                  <m:r>
                    <m:t>z</m:t>
                  </m:r>
                </m:e>
                <m:sub>
                  <m:r>
                    <m:t>t</m:t>
                  </m:r>
                </m:sub>
              </m:sSub>
              <m:r>
                <m:rPr>
                  <m:sty m:val="p"/>
                </m:rPr>
                <m:t>,</m:t>
              </m:r>
              <m:r>
                <m:t>c</m:t>
              </m:r>
              <m:r>
                <m:rPr>
                  <m:sty m:val="p"/>
                </m:rPr>
                <m:t>)</m:t>
              </m:r>
              <m:r>
                <m:rPr>
                  <m:sty m:val="p"/>
                </m:rPr>
                <m:t>−</m:t>
              </m:r>
              <m:sSub>
                <m:e>
                  <m:r>
                    <m:t>ϵ</m:t>
                  </m:r>
                </m:e>
                <m:sub>
                  <m:r>
                    <m:t>θ</m:t>
                  </m:r>
                </m:sub>
              </m:sSub>
              <m:r>
                <m:rPr>
                  <m:sty m:val="p"/>
                </m:rPr>
                <m:t>(</m:t>
              </m:r>
              <m:sSub>
                <m:e>
                  <m:r>
                    <m:t>z</m:t>
                  </m:r>
                </m:e>
                <m:sub>
                  <m:r>
                    <m:t>t</m:t>
                  </m:r>
                </m:sub>
              </m:sSub>
              <m:r>
                <m:rPr>
                  <m:sty m:val="p"/>
                </m:rPr>
                <m:t>,</m:t>
              </m:r>
              <m:r>
                <m:rPr>
                  <m:sty m:val="p"/>
                </m:rPr>
                <m:t>∅</m:t>
              </m:r>
              <m:r>
                <m:rPr>
                  <m:sty m:val="p"/>
                </m:rPr>
                <m:t>)</m:t>
              </m:r>
            </m:e>
          </m:d>
          <m:r>
            <m:rPr>
              <m:sty m:val="p"/>
            </m:rPr>
            <m:t>.</m:t>
          </m:r>
        </m:oMath>
      </m:oMathPara>
    </w:p>
    <w:p>
      <w:pPr>
        <w:pStyle w:val="FirstParagraph"/>
        <w:jc w:val="both"/>
        <w:keepNext w:val="0"/>
        <w:keepLines w:val="0"/>
        <w:widowControl w:val="1"/>
      </w:pPr>
      <w:r>
        <w:t xml:space="preserve">Classifier-free guidance avoids the separately-trained property predictor required by its noise-conditional ancestor, classifier guidance</w:t>
      </w:r>
      <w:r>
        <w:t xml:space="preserve"> </w:t>
      </w:r>
      <w:hyperlink w:anchor="ref-dhariwal2021diffusion">
        <w:r>
          <w:rPr>
            <w:rStyle w:val="Hyperlink"/>
          </w:rPr>
          <w:t xml:space="preserve">[dhariwal2021]</w:t>
        </w:r>
      </w:hyperlink>
      <w:r>
        <w:t xml:space="preserve">. DGLD combines both regimes: classifier-free guidance over the four detonation targets, plus a small noise-conditional multi-task score model whose per-head gradients are added at every diffusion step (§4.7). Conditioning is injected into the residual blocks of the denoiser through FiLM-style affine feature-wise modulation</w:t>
      </w:r>
      <w:r>
        <w:t xml:space="preserve"> </w:t>
      </w:r>
      <w:hyperlink w:anchor="ref-perez2018film">
        <w:r>
          <w:rPr>
            <w:rStyle w:val="Hyperlink"/>
          </w:rPr>
          <w:t xml:space="preserve">[perez2018]</w:t>
        </w:r>
      </w:hyperlink>
      <w:r>
        <w:t xml:space="preserve">, the standard mechanism for property conditioning in image and molecular diffusion alike.</w:t>
      </w:r>
    </w:p>
    <w:bookmarkEnd w:id="20"/>
    <w:bookmarkStart w:id="21" w:name="Xaaa6a6c935439175241fce54c7f3e04ea7a4ca1"/>
    <w:p>
      <w:pPr>
        <w:pStyle w:val="Heading3"/>
        <w:keepNext/>
        <w:keepLines/>
        <w:widowControl w:val="1"/>
      </w:pPr>
      <w:r>
        <w:t xml:space="preserve">2.3 3D and target-conditioned molecular diffusion</w:t>
      </w:r>
    </w:p>
    <w:p>
      <w:pPr>
        <w:pStyle w:val="FirstParagraph"/>
        <w:jc w:val="both"/>
        <w:keepNext w:val="0"/>
        <w:keepLines w:val="0"/>
        <w:widowControl w:val="1"/>
      </w:pPr>
      <w:r>
        <w:t xml:space="preserve">A parallel line of work runs diffusion directly on 3D molecular geometries rather than on a learned latent. Equivariant Diffusion (EDM)</w:t>
      </w:r>
      <w:r>
        <w:t xml:space="preserve"> </w:t>
      </w:r>
      <w:hyperlink w:anchor="ref-hoogeboom2022edm">
        <w:r>
          <w:rPr>
            <w:rStyle w:val="Hyperlink"/>
          </w:rPr>
          <w:t xml:space="preserve">[hoogeboom2022]</w:t>
        </w:r>
      </w:hyperlink>
      <w:r>
        <w:t xml:space="preserve"> </w:t>
      </w:r>
      <w:r>
        <w:t xml:space="preserve">diffuses atom positions and types under SE(3)-equivariant networks, providing the architectural template for subsequent target-aware variants. DiffSBDD</w:t>
      </w:r>
      <w:r>
        <w:t xml:space="preserve"> </w:t>
      </w:r>
      <w:hyperlink w:anchor="ref-schneuing2022diffsbdd">
        <w:r>
          <w:rPr>
            <w:rStyle w:val="Hyperlink"/>
          </w:rPr>
          <w:t xml:space="preserve">[schneuing2022]</w:t>
        </w:r>
      </w:hyperlink>
      <w:r>
        <w:t xml:space="preserve"> </w:t>
      </w:r>
      <w:r>
        <w:t xml:space="preserve">and TargetDiff</w:t>
      </w:r>
      <w:r>
        <w:t xml:space="preserve"> </w:t>
      </w:r>
      <w:hyperlink w:anchor="ref-guan2023targetdiff">
        <w:r>
          <w:rPr>
            <w:rStyle w:val="Hyperlink"/>
          </w:rPr>
          <w:t xml:space="preserve">[guan2023]</w:t>
        </w:r>
      </w:hyperlink>
      <w:r>
        <w:t xml:space="preserve"> </w:t>
      </w:r>
      <w:r>
        <w:t xml:space="preserve">condition the diffusion process on a 3D protein pocket; Pocket2Mol</w:t>
      </w:r>
      <w:r>
        <w:t xml:space="preserve"> </w:t>
      </w:r>
      <w:hyperlink w:anchor="ref-peng2022pocket2mol">
        <w:r>
          <w:rPr>
            <w:rStyle w:val="Hyperlink"/>
          </w:rPr>
          <w:t xml:space="preserve">[peng2022]</w:t>
        </w:r>
      </w:hyperlink>
      <w:r>
        <w:t xml:space="preserve"> </w:t>
      </w:r>
      <w:r>
        <w:t xml:space="preserve">samples atoms autoregressively inside the pocket; DiffDock</w:t>
      </w:r>
      <w:r>
        <w:t xml:space="preserve"> </w:t>
      </w:r>
      <w:hyperlink w:anchor="ref-corso2023diffdock">
        <w:r>
          <w:rPr>
            <w:rStyle w:val="Hyperlink"/>
          </w:rPr>
          <w:t xml:space="preserve">[corso2023]</w:t>
        </w:r>
      </w:hyperlink>
      <w:r>
        <w:t xml:space="preserve"> </w:t>
      </w:r>
      <w:r>
        <w:t xml:space="preserve">recasts molecular docking itself as a generative diffusion problem over translation, rotation, and torsion. MolDiff</w:t>
      </w:r>
      <w:r>
        <w:t xml:space="preserve"> </w:t>
      </w:r>
      <w:hyperlink w:anchor="ref-peng2023moldiff">
        <w:r>
          <w:rPr>
            <w:rStyle w:val="Hyperlink"/>
          </w:rPr>
          <w:t xml:space="preserve">[peng2023]</w:t>
        </w:r>
      </w:hyperlink>
      <w:r>
        <w:t xml:space="preserve"> </w:t>
      </w:r>
      <w:r>
        <w:t xml:space="preserve">addresses the atom-bond inconsistency that arises when atom positions and bond types are diffused independently.</w:t>
      </w:r>
    </w:p>
    <w:p>
      <w:pPr>
        <w:pStyle w:val="BodyText"/>
        <w:jc w:val="both"/>
        <w:keepNext w:val="0"/>
        <w:keepLines w:val="0"/>
        <w:widowControl w:val="1"/>
      </w:pPr>
      <w:r>
        <w:t xml:space="preserve">GeoLDM (Xu et al.</w:t>
      </w:r>
      <w:r>
        <w:t xml:space="preserve"> </w:t>
      </w:r>
      <w:hyperlink w:anchor="ref-xu2023geoldm">
        <w:r>
          <w:rPr>
            <w:rStyle w:val="Hyperlink"/>
          </w:rPr>
          <w:t xml:space="preserve">[xu2023]</w:t>
        </w:r>
      </w:hyperlink>
      <w:r>
        <w:t xml:space="preserve">) is the closest 3D-coordinate latent-diffusion analogue: it learns an SE(3)-equivariant latent over atom positions and types and runs the diffusion process there, so conditioning enters at the 3D-geometry level. DGLD instead diffuses a 1D string-derived latent (cached LIMO</w:t>
      </w:r>
      <w:r>
        <w:t xml:space="preserve"> </w:t>
      </w:r>
      <m:oMath>
        <m:r>
          <m:t>μ</m:t>
        </m:r>
      </m:oMath>
      <w:r>
        <w:t xml:space="preserve"> </w:t>
      </w:r>
      <w:r>
        <w:t xml:space="preserve">over SELFIES), so conditioning is a function of the molecule's identity rather than of any particular conformer. The 1D-latent route avoids per-step conformer regeneration and is the natural fit for property targets that are themselves invariant under conformer choice.</w:t>
      </w:r>
    </w:p>
    <w:p>
      <w:pPr>
        <w:pStyle w:val="BodyText"/>
        <w:jc w:val="both"/>
        <w:keepNext w:val="0"/>
        <w:keepLines w:val="0"/>
        <w:widowControl w:val="1"/>
      </w:pPr>
      <w:r>
        <w:t xml:space="preserve">DGLD differs from this family in two respects. First, the conditioning signal is a continuous physical property of the molecule itself (density, heat of formation, detonation velocity, detonation pressure), not the geometry of an external receptor; latent-space diffusion is the more natural fit and avoids 3D-conformer preprocessing at every training step. Second, the energetic-materials regime imposes a tier-stratified label-trust structure (computed K-J labels vs. measured detonation properties) that has no analogue in pocket-based drug design and that drives the conditioning-mask design of §4.</w:t>
      </w:r>
    </w:p>
    <w:bookmarkEnd w:id="21"/>
    <w:bookmarkStart w:id="22" w:name="energetic-materials-property-prediction"/>
    <w:p>
      <w:pPr>
        <w:pStyle w:val="Heading3"/>
        <w:keepNext/>
        <w:keepLines/>
        <w:widowControl w:val="1"/>
      </w:pPr>
      <w:r>
        <w:t xml:space="preserve">2.4 Energetic-materials property prediction</w:t>
      </w:r>
    </w:p>
    <w:p>
      <w:pPr>
        <w:pStyle w:val="FirstParagraph"/>
        <w:jc w:val="both"/>
        <w:keepNext w:val="0"/>
        <w:keepLines w:val="0"/>
        <w:widowControl w:val="1"/>
      </w:pPr>
      <w:r>
        <w:t xml:space="preserve">The Kamlet–Jacobs equations</w:t>
      </w:r>
      <w:r>
        <w:t xml:space="preserve"> </w:t>
      </w:r>
      <w:hyperlink w:anchor="ref-kamlet1968detonation">
        <w:r>
          <w:rPr>
            <w:rStyle w:val="Hyperlink"/>
          </w:rPr>
          <w:t xml:space="preserve">[kamlet1968]</w:t>
        </w:r>
      </w:hyperlink>
      <w:r>
        <w:t xml:space="preserve"> </w:t>
      </w:r>
      <w:r>
        <w:t xml:space="preserve">remain the closed-form workhorse for fast detonation-property estimates of CHNO explosives and supply our Tier C labels; they are regime-limited and under-predict in the high-nitrogen tail (§5.3, Appendix C). Casey et al.</w:t>
      </w:r>
      <w:r>
        <w:t xml:space="preserve"> </w:t>
      </w:r>
      <w:hyperlink w:anchor="ref-casey2020prediction">
        <w:r>
          <w:rPr>
            <w:rStyle w:val="Hyperlink"/>
          </w:rPr>
          <w:t xml:space="preserve">[casey2020]</w:t>
        </w:r>
      </w:hyperlink>
      <w:r>
        <w:t xml:space="preserve"> </w:t>
      </w:r>
      <w:r>
        <w:t xml:space="preserve">train 3D convolutional networks on electronic-structure-derived volumetric inputs to predict detonation properties from first principles; we use an ensemble in this family as our fast post-rerank scorer. Uni-Mol</w:t>
      </w:r>
      <w:r>
        <w:t xml:space="preserve"> </w:t>
      </w:r>
      <w:hyperlink w:anchor="ref-zhou2023unimol">
        <w:r>
          <w:rPr>
            <w:rStyle w:val="Hyperlink"/>
          </w:rPr>
          <w:t xml:space="preserve">[zhou2023]</w:t>
        </w:r>
      </w:hyperlink>
      <w:r>
        <w:t xml:space="preserve"> </w:t>
      </w:r>
      <w:r>
        <w:t xml:space="preserve">provides a 3D pre-training backbone whose representations transfer to organic property prediction and which the smoke-model ensemble draws on. Elton et al.</w:t>
      </w:r>
      <w:r>
        <w:t xml:space="preserve"> </w:t>
      </w:r>
      <w:hyperlink w:anchor="ref-elton2018applying">
        <w:r>
          <w:rPr>
            <w:rStyle w:val="Hyperlink"/>
          </w:rPr>
          <w:t xml:space="preserve">[elton2018]</w:t>
        </w:r>
      </w:hyperlink>
      <w:r>
        <w:t xml:space="preserve"> </w:t>
      </w:r>
      <w:r>
        <w:t xml:space="preserve">showed that simple feature-engineered ML pipelines match Kamlet–Jacobs accuracy across a broad CHNO set, establishing the property-prediction baseline that any generative work must beat. The pre-experimental screening recipe used in §5.3, DFT-derived</w:t>
      </w:r>
      <w:r>
        <w:t xml:space="preserve"> </w:t>
      </w:r>
      <m:oMath>
        <m:r>
          <m:t>ρ</m:t>
        </m:r>
      </m:oMath>
      <w:r>
        <w:t xml:space="preserve"> </w:t>
      </w:r>
      <w:r>
        <w:t xml:space="preserve">and HOF, calibrated against a small set of reference explosives, then plugged into the Kamlet–Jacobs equations for</w:t>
      </w:r>
      <w:r>
        <w:t xml:space="preserve"> </w:t>
      </w:r>
      <m:oMath>
        <m:r>
          <m:t>D</m:t>
        </m:r>
      </m:oMath>
      <w:r>
        <w:t xml:space="preserve"> </w:t>
      </w:r>
      <w:r>
        <w:t xml:space="preserve">and</w:t>
      </w:r>
      <w:r>
        <w:t xml:space="preserve"> </w:t>
      </w:r>
      <m:oMath>
        <m:r>
          <m:t>P</m:t>
        </m:r>
      </m:oMath>
      <w:r>
        <w:t xml:space="preserve">, is a standard pattern in computational energetic-materials chemistry, applied across the field in different functional / basis / anchor combinations: Politzer and Murray</w:t>
      </w:r>
      <w:r>
        <w:t xml:space="preserve"> </w:t>
      </w:r>
      <w:hyperlink w:anchor="ref-politzer2014some">
        <w:r>
          <w:rPr>
            <w:rStyle w:val="Hyperlink"/>
          </w:rPr>
          <w:t xml:space="preserve">[politzer2014]</w:t>
        </w:r>
      </w:hyperlink>
      <w:r>
        <w:t xml:space="preserve"> </w:t>
      </w:r>
      <w:r>
        <w:t xml:space="preserve">develop the BDE-anchored sensitivity correlations we adopt for the</w:t>
      </w:r>
      <w:r>
        <w:t xml:space="preserve"> </w:t>
      </w:r>
      <m:oMath>
        <m:sSub>
          <m:e>
            <m:r>
              <m:t>h</m:t>
            </m:r>
          </m:e>
          <m:sub>
            <m:r>
              <m:t>50</m:t>
            </m:r>
          </m:sub>
        </m:sSub>
      </m:oMath>
      <w:r>
        <w:t xml:space="preserve"> </w:t>
      </w:r>
      <w:r>
        <w:t xml:space="preserve">head; Mathieu</w:t>
      </w:r>
      <w:r>
        <w:t xml:space="preserve"> </w:t>
      </w:r>
      <w:hyperlink w:anchor="ref-mathieu2017sensitivity">
        <w:r>
          <w:rPr>
            <w:rStyle w:val="Hyperlink"/>
          </w:rPr>
          <w:t xml:space="preserve">[mathieu2017]</w:t>
        </w:r>
      </w:hyperlink>
      <w:r>
        <w:t xml:space="preserve"> </w:t>
      </w:r>
      <w:r>
        <w:t xml:space="preserve">reviews the systematic-bias bands that motivate anchor-calibration. Specialised codes EXPLO5</w:t>
      </w:r>
      <w:r>
        <w:t xml:space="preserve"> </w:t>
      </w:r>
      <w:hyperlink w:anchor="ref-suceska2018explo5">
        <w:r>
          <w:rPr>
            <w:rStyle w:val="Hyperlink"/>
          </w:rPr>
          <w:t xml:space="preserve">[suceska2018]</w:t>
        </w:r>
      </w:hyperlink>
      <w:r>
        <w:t xml:space="preserve"> </w:t>
      </w:r>
      <w:r>
        <w:t xml:space="preserve">and Cheetah</w:t>
      </w:r>
      <w:r>
        <w:t xml:space="preserve"> </w:t>
      </w:r>
      <w:hyperlink w:anchor="ref-fried2014cheetah">
        <w:r>
          <w:rPr>
            <w:rStyle w:val="Hyperlink"/>
          </w:rPr>
          <w:t xml:space="preserve">[fried2014]</w:t>
        </w:r>
      </w:hyperlink>
      <w:r>
        <w:t xml:space="preserve"> </w:t>
      </w:r>
      <w:r>
        <w:t xml:space="preserve">replace the closed-form K-J step with a thermochemical-equilibrium Chapman–Jouguet solver and a covolume EOS, and remain the absolute-value-grade reference; we use K-J as the closed-form approximation and acknowledge the absolute-value gap explicitly (§5.3). The recent Choi et al. review</w:t>
      </w:r>
      <w:r>
        <w:t xml:space="preserve"> </w:t>
      </w:r>
      <w:hyperlink w:anchor="ref-choi2023prep">
        <w:r>
          <w:rPr>
            <w:rStyle w:val="Hyperlink"/>
          </w:rPr>
          <w:t xml:space="preserve">[choi2023]</w:t>
        </w:r>
      </w:hyperlink>
      <w:r>
        <w:t xml:space="preserve"> </w:t>
      </w:r>
      <w:r>
        <w:t xml:space="preserve">surveys the state of AI approaches for energetic materials by design and codifies the field's challenges and current best practices, and we adopt its taxonomy of property-prediction vs generation pipelines as the literature backdrop. Recent ML approaches to crystal density itself (</w:t>
      </w:r>
      <w:hyperlink w:anchor="ref-mlcrystdens-cm-2024">
        <w:r>
          <w:rPr>
            <w:rStyle w:val="Hyperlink"/>
          </w:rPr>
          <w:t xml:space="preserve">[mlcrystdens2024]</w:t>
        </w:r>
      </w:hyperlink>
      <w:r>
        <w:t xml:space="preserve">) are complementary to our gas-phase Bondi-vdW + 6-anchor-calibration recipe and would substitute cleanly for it once retrained on a polynitro-enriched corpus.</w:t>
      </w:r>
    </w:p>
    <w:p>
      <w:pPr>
        <w:pStyle w:val="BodyText"/>
        <w:jc w:val="both"/>
        <w:keepNext w:val="0"/>
        <w:keepLines w:val="0"/>
        <w:widowControl w:val="1"/>
      </w:pPr>
      <w:r>
        <w:t xml:space="preserve">Sensitivity prediction is the harder discriminative half of the field. Nefati, Cense and Legendre</w:t>
      </w:r>
      <w:r>
        <w:t xml:space="preserve"> </w:t>
      </w:r>
      <w:hyperlink w:anchor="ref-nefati1996ann">
        <w:r>
          <w:rPr>
            <w:rStyle w:val="Hyperlink"/>
          </w:rPr>
          <w:t xml:space="preserve">[nefati1996]</w:t>
        </w:r>
      </w:hyperlink>
      <w:r>
        <w:t xml:space="preserve"> </w:t>
      </w:r>
      <w:r>
        <w:t xml:space="preserve">trained an early neural network on impact-sensitivity data; Mathieu</w:t>
      </w:r>
      <w:r>
        <w:t xml:space="preserve"> </w:t>
      </w:r>
      <w:hyperlink w:anchor="ref-mathieu2017sensitivity">
        <w:r>
          <w:rPr>
            <w:rStyle w:val="Hyperlink"/>
          </w:rPr>
          <w:t xml:space="preserve">[mathieu2017]</w:t>
        </w:r>
      </w:hyperlink>
      <w:r>
        <w:t xml:space="preserve"> </w:t>
      </w:r>
      <w:r>
        <w:t xml:space="preserve">reviewed the theoretical relationships between molecular structure, detonation performance, and sensitivity; Huang and Massa</w:t>
      </w:r>
      <w:r>
        <w:t xml:space="preserve"> </w:t>
      </w:r>
      <w:hyperlink w:anchor="ref-huang2021applying">
        <w:r>
          <w:rPr>
            <w:rStyle w:val="Hyperlink"/>
          </w:rPr>
          <w:t xml:space="preserve">[huang2021]</w:t>
        </w:r>
      </w:hyperlink>
      <w:r>
        <w:t xml:space="preserve"> </w:t>
      </w:r>
      <w:r>
        <w:t xml:space="preserve">applied modern ML to the performance/stability trade-off, showing that h</w:t>
      </w:r>
      <w:r>
        <w:rPr>
          <w:vertAlign w:val="subscript"/>
        </w:rPr>
        <w:t xml:space="preserve">50</w:t>
      </w:r>
      <w:r>
        <w:t xml:space="preserve"> </w:t>
      </w:r>
      <w:r>
        <w:t xml:space="preserve">(the drop-weight height at which 50% of samples detonate on impact, a standard sensitivity measure) is learnable from descriptors and provides the regression target our hazard head approximates. The synthesis-chemistry review of Klapötke</w:t>
      </w:r>
      <w:r>
        <w:t xml:space="preserve"> </w:t>
      </w:r>
      <w:hyperlink w:anchor="ref-klapotke2017nitrogen">
        <w:r>
          <w:rPr>
            <w:rStyle w:val="Hyperlink"/>
          </w:rPr>
          <w:t xml:space="preserve">[klapotke2017]</w:t>
        </w:r>
      </w:hyperlink>
      <w:r>
        <w:t xml:space="preserve"> </w:t>
      </w:r>
      <w:r>
        <w:t xml:space="preserve">codifies the qualitative fragment priors (nitrogen-rich heterocycles, nitramines, azides) on which our motif-augmented training set is built.</w:t>
      </w:r>
    </w:p>
    <w:bookmarkEnd w:id="22"/>
    <w:bookmarkStart w:id="23" w:name="Xf2a246244957b11ded72cbdb4c090764e9ab57e"/>
    <w:p>
      <w:pPr>
        <w:pStyle w:val="Heading3"/>
        <w:keepNext/>
        <w:keepLines/>
        <w:widowControl w:val="1"/>
      </w:pPr>
      <w:r>
        <w:t xml:space="preserve">2.5 Energetic-materials generative ML and synthesisability</w:t>
      </w:r>
    </w:p>
    <w:p>
      <w:pPr>
        <w:pStyle w:val="FirstParagraph"/>
        <w:jc w:val="both"/>
        <w:keepNext w:val="0"/>
        <w:keepLines w:val="0"/>
        <w:widowControl w:val="1"/>
      </w:pPr>
      <w:r>
        <w:t xml:space="preserve">Generative work targeting the energetic-materials high-energy tail is comparatively recent and is constrained by the small size of the labelled corpus. The closest spiritual analogue to DGLD is the constrained Bayesian optimisation in a VAE latent of Griffiths and Hernández-Lobato</w:t>
      </w:r>
      <w:r>
        <w:t xml:space="preserve"> </w:t>
      </w:r>
      <w:hyperlink w:anchor="ref-griffiths2020constrained">
        <w:r>
          <w:rPr>
            <w:rStyle w:val="Hyperlink"/>
          </w:rPr>
          <w:t xml:space="preserve">[griffiths2020]</w:t>
        </w:r>
      </w:hyperlink>
      <w:r>
        <w:t xml:space="preserve">, which navigates a learned molecular prior under chemistry constraints; classifier-free latent diffusion subsumes this recipe in a single end-to-end model whose gradient comes from the score function rather than from a separately-trained acquisition oracle. The performance/stability balancing study of Huang et al.</w:t>
      </w:r>
      <w:r>
        <w:t xml:space="preserve"> </w:t>
      </w:r>
      <w:hyperlink w:anchor="ref-huang2021applying">
        <w:r>
          <w:rPr>
            <w:rStyle w:val="Hyperlink"/>
          </w:rPr>
          <w:t xml:space="preserve">[huang2021]</w:t>
        </w:r>
      </w:hyperlink>
      <w:r>
        <w:t xml:space="preserve">, already cited above for sensitivity prediction, is the property-prediction-side counterpart of the multi-head trade-off DGLD enforces at generation time. The bulk of the prior ML work on energetic materials has been discriminative; the four-tier label hierarchy and tier-stratified conditioning-mask of §3 and §4 are designed precisely to make property-targeted generation viable in this small-and-noisy-label regime. The most direct contemporary competitor is the property-conditioned RNN of</w:t>
      </w:r>
      <w:r>
        <w:t xml:space="preserve"> </w:t>
      </w:r>
      <w:hyperlink w:anchor="ref-npjcompmat2025">
        <w:r>
          <w:rPr>
            <w:rStyle w:val="Hyperlink"/>
          </w:rPr>
          <w:t xml:space="preserve">[npjcompmat2025]</w:t>
        </w:r>
      </w:hyperlink>
      <w:r>
        <w:t xml:space="preserve"> </w:t>
      </w:r>
      <w:r>
        <w:t xml:space="preserve">(npj Computational Materials, in press), which couples an autoregressive SMILES generator to QM validation on energetic targets. The two methods differ on three axes that shape the headline numbers: (i) the prior is autoregressive RNN over SMILES vs latent diffusion over a frozen LIMO encoder, so DGLD trades exact-validity guarantees for property-targeted concentration on the high-tail manifold; (ii) the supervisory signal is property regression on a single tier vs the four-tier trust-gating recipe of §3.1, which keeps the ~30k Tier-D rows in the unconditional prior without contaminating the conditional gradient; (iii) the validation funnel is QM-only vs the four-stage SMARTS</w:t>
      </w:r>
      <w:r>
        <w:t xml:space="preserve"> </w:t>
      </w:r>
      <m:oMath>
        <m:r>
          <m:rPr>
            <m:sty m:val="p"/>
          </m:rPr>
          <m:t>→</m:t>
        </m:r>
      </m:oMath>
      <w:r>
        <w:t xml:space="preserve"> </w:t>
      </w:r>
      <w:r>
        <w:t xml:space="preserve">Pareto</w:t>
      </w:r>
      <w:r>
        <w:t xml:space="preserve"> </w:t>
      </w:r>
      <m:oMath>
        <m:r>
          <m:rPr>
            <m:sty m:val="p"/>
          </m:rPr>
          <m:t>→</m:t>
        </m:r>
      </m:oMath>
      <w:r>
        <w:t xml:space="preserve"> </w:t>
      </w:r>
      <w:r>
        <w:t xml:space="preserve">GFN2-xTB</w:t>
      </w:r>
      <w:r>
        <w:t xml:space="preserve"> </w:t>
      </w:r>
      <m:oMath>
        <m:r>
          <m:rPr>
            <m:sty m:val="p"/>
          </m:rPr>
          <m:t>→</m:t>
        </m:r>
      </m:oMath>
      <w:r>
        <w:t xml:space="preserve"> </w:t>
      </w:r>
      <w:r>
        <w:t xml:space="preserve">DFT chain of §4.10. Where the two papers agree is on the headline finding that energetic-materials generation requires post-decode physics validation; where they differ is on whether the prior should be tilted toward the high-tail before that validation runs.</w:t>
      </w:r>
    </w:p>
    <w:bookmarkEnd w:id="23"/>
    <w:bookmarkStart w:id="24" w:name="general-purpose-property-predictors"/>
    <w:p>
      <w:pPr>
        <w:pStyle w:val="Heading3"/>
        <w:keepNext/>
        <w:keepLines/>
        <w:widowControl w:val="1"/>
      </w:pPr>
      <w:r>
        <w:t xml:space="preserve">2.6 General-purpose property predictors</w:t>
      </w:r>
    </w:p>
    <w:p>
      <w:pPr>
        <w:pStyle w:val="FirstParagraph"/>
        <w:jc w:val="both"/>
        <w:keepNext w:val="0"/>
        <w:keepLines w:val="0"/>
        <w:widowControl w:val="1"/>
      </w:pPr>
      <w:r>
        <w:t xml:space="preserve">Outside the energetic-materials niche, several general-purpose molecular property predictors set the methodological context. Chemprop / D-MPNN</w:t>
      </w:r>
      <w:r>
        <w:t xml:space="preserve"> </w:t>
      </w:r>
      <w:hyperlink w:anchor="ref-yang2019chemprop">
        <w:r>
          <w:rPr>
            <w:rStyle w:val="Hyperlink"/>
          </w:rPr>
          <w:t xml:space="preserve">[yang2019]</w:t>
        </w:r>
      </w:hyperlink>
      <w:r>
        <w:t xml:space="preserve"> </w:t>
      </w:r>
      <w:r>
        <w:t xml:space="preserve">remains a strong message-passing-graph default; SchNet</w:t>
      </w:r>
      <w:r>
        <w:t xml:space="preserve"> </w:t>
      </w:r>
      <w:hyperlink w:anchor="ref-schutt2018schnet">
        <w:r>
          <w:rPr>
            <w:rStyle w:val="Hyperlink"/>
          </w:rPr>
          <w:t xml:space="preserve">[schutt2018]</w:t>
        </w:r>
      </w:hyperlink>
      <w:r>
        <w:t xml:space="preserve"> </w:t>
      </w:r>
      <w:r>
        <w:t xml:space="preserve">introduced continuous-filter convolutions for atomistic systems and achieves DFT-level accuracy on energy and force predictions; OrbNet</w:t>
      </w:r>
      <w:r>
        <w:t xml:space="preserve"> </w:t>
      </w:r>
      <w:hyperlink w:anchor="ref-qiao2020orbnet">
        <w:r>
          <w:rPr>
            <w:rStyle w:val="Hyperlink"/>
          </w:rPr>
          <w:t xml:space="preserve">[qiao2020]</w:t>
        </w:r>
      </w:hyperlink>
      <w:r>
        <w:t xml:space="preserve"> </w:t>
      </w:r>
      <w:r>
        <w:t xml:space="preserve">uses symmetry-adapted atomic-orbital features to predict quantum-chemical observables at semi-empirical cost. We do not use these networks directly: the smoke-model 3D-CNN ensemble is trained against detonation outputs and is in-distribution for the energetic-materials task, while these graph and quantum-aware models would have to be re-fit to detonation labels before they could substitute for it. They define the broader prediction-quality envelope against which the smoke-model ensemble's accuracy on CHNO chemistry should be read.</w:t>
      </w:r>
    </w:p>
    <w:bookmarkEnd w:id="24"/>
    <w:bookmarkStart w:id="25" w:name="Xf635a234434295431564ab7682b3b5171ad0147"/>
    <w:p>
      <w:pPr>
        <w:pStyle w:val="Heading3"/>
        <w:keepNext/>
        <w:keepLines/>
        <w:widowControl w:val="1"/>
      </w:pPr>
      <w:r>
        <w:t xml:space="preserve">2.7 Distribution-learning benchmarks and synthesisability metrics</w:t>
      </w:r>
    </w:p>
    <w:p>
      <w:pPr>
        <w:pStyle w:val="FirstParagraph"/>
        <w:jc w:val="both"/>
        <w:keepNext w:val="0"/>
        <w:keepLines w:val="0"/>
        <w:widowControl w:val="1"/>
      </w:pPr>
      <w:r>
        <w:t xml:space="preserve">The MOSES</w:t>
      </w:r>
      <w:r>
        <w:t xml:space="preserve"> </w:t>
      </w:r>
      <w:hyperlink w:anchor="ref-polykovskiy2020moses">
        <w:r>
          <w:rPr>
            <w:rStyle w:val="Hyperlink"/>
          </w:rPr>
          <w:t xml:space="preserve">[polykovskiy2020]</w:t>
        </w:r>
      </w:hyperlink>
      <w:r>
        <w:t xml:space="preserve"> </w:t>
      </w:r>
      <w:r>
        <w:t xml:space="preserve">and GuacaMol</w:t>
      </w:r>
      <w:r>
        <w:t xml:space="preserve"> </w:t>
      </w:r>
      <w:hyperlink w:anchor="ref-brown2019guacamol">
        <w:r>
          <w:rPr>
            <w:rStyle w:val="Hyperlink"/>
          </w:rPr>
          <w:t xml:space="preserve">[brown2019]</w:t>
        </w:r>
      </w:hyperlink>
      <w:r>
        <w:t xml:space="preserve"> </w:t>
      </w:r>
      <w:r>
        <w:t xml:space="preserve">benchmarks have standardised the evaluation of molecular generators on validity, novelty, uniqueness, and similarity-to-training metrics. The Fréchet ChemNet Distance</w:t>
      </w:r>
      <w:r>
        <w:t xml:space="preserve"> </w:t>
      </w:r>
      <w:hyperlink w:anchor="ref-preuer2018fcd">
        <w:r>
          <w:rPr>
            <w:rStyle w:val="Hyperlink"/>
          </w:rPr>
          <w:t xml:space="preserve">[preuer2018]</w:t>
        </w:r>
      </w:hyperlink>
      <w:r>
        <w:t xml:space="preserve"> </w:t>
      </w:r>
      <w:r>
        <w:t xml:space="preserve">reports distributional similarity between generated and reference sets in a learned chemical-feature space and provides a pretrained-feature analogue of FID for chemistry. The chemical-space project of Reymond</w:t>
      </w:r>
      <w:r>
        <w:t xml:space="preserve"> </w:t>
      </w:r>
      <w:hyperlink w:anchor="ref-reymond2015gdb">
        <w:r>
          <w:rPr>
            <w:rStyle w:val="Hyperlink"/>
          </w:rPr>
          <w:t xml:space="preserve">[reymond2015]</w:t>
        </w:r>
      </w:hyperlink>
      <w:r>
        <w:t xml:space="preserve">, with its enumerated GDB-13 and GDB-17 reference sets, bounds how much of small-molecule space remains untouched by generative models and contextualises any novelty claim. We adopt MOSES-style metrics in Appendix D.11 and treat FCD as a chemistry-class-transfer signal rather than a within-domain quality metric, since the ChemNet feature extractor is trained on drug-like ZINC+PubChem chemistry.</w:t>
      </w:r>
    </w:p>
    <w:p>
      <w:pPr>
        <w:pStyle w:val="BodyText"/>
        <w:jc w:val="both"/>
        <w:keepNext w:val="0"/>
        <w:keepLines w:val="0"/>
        <w:widowControl w:val="1"/>
      </w:pPr>
      <w:r>
        <w:t xml:space="preserve">Synthesisability is a separate concern. The SA score of Ertl and Schuffenhauer</w:t>
      </w:r>
      <w:r>
        <w:t xml:space="preserve"> </w:t>
      </w:r>
      <w:hyperlink w:anchor="ref-ertl2009sa">
        <w:r>
          <w:rPr>
            <w:rStyle w:val="Hyperlink"/>
          </w:rPr>
          <w:t xml:space="preserve">[ertl2009]</w:t>
        </w:r>
      </w:hyperlink>
      <w:r>
        <w:t xml:space="preserve"> </w:t>
      </w:r>
      <w:r>
        <w:t xml:space="preserve">penalises uncommon ring fusions and rare fragments and is a fast, well-calibrated bound on accessibility; the SCScore of Coley et al.</w:t>
      </w:r>
      <w:r>
        <w:t xml:space="preserve"> </w:t>
      </w:r>
      <w:hyperlink w:anchor="ref-coley2018scscore">
        <w:r>
          <w:rPr>
            <w:rStyle w:val="Hyperlink"/>
          </w:rPr>
          <w:t xml:space="preserve">[coley2018]</w:t>
        </w:r>
      </w:hyperlink>
      <w:r>
        <w:t xml:space="preserve"> </w:t>
      </w:r>
      <w:r>
        <w:t xml:space="preserve">learns a complexity proxy from a reaction corpus and complements SA by rewarding fragments that appear as reaction products. We apply both as hard caps in the rerank pipeline. Tanimoto similarity</w:t>
      </w:r>
      <w:r>
        <w:t xml:space="preserve"> </w:t>
      </w:r>
      <w:hyperlink w:anchor="ref-rogers1960computer">
        <w:r>
          <w:rPr>
            <w:rStyle w:val="Hyperlink"/>
          </w:rPr>
          <w:t xml:space="preserve">[rogers1960]</w:t>
        </w:r>
      </w:hyperlink>
      <w:r>
        <w:t xml:space="preserve"> </w:t>
      </w:r>
      <w:r>
        <w:t xml:space="preserve">on Morgan fingerprints provides a simple, well-understood novelty bound against the training set; we use a window</w:t>
      </w:r>
      <w:r>
        <w:t xml:space="preserve"> </w:t>
      </w:r>
      <w:r>
        <w:rPr>
          <w:i/>
          <w:iCs/>
        </w:rPr>
        <w:t xml:space="preserve">(0.20, 0.55)</w:t>
      </w:r>
      <w:r>
        <w:t xml:space="preserve"> </w:t>
      </w:r>
      <w:r>
        <w:t xml:space="preserve">to keep candidates close enough to known chemistry to be plausible but far enough to count as new.</w:t>
      </w:r>
    </w:p>
    <w:bookmarkEnd w:id="25"/>
    <w:bookmarkStart w:id="26" w:name="validation-tooling"/>
    <w:p>
      <w:pPr>
        <w:pStyle w:val="Heading3"/>
        <w:keepNext/>
        <w:keepLines/>
        <w:widowControl w:val="1"/>
      </w:pPr>
      <w:r>
        <w:t xml:space="preserve">2.8 Validation tooling</w:t>
      </w:r>
    </w:p>
    <w:p>
      <w:pPr>
        <w:pStyle w:val="FirstParagraph"/>
        <w:jc w:val="both"/>
        <w:keepNext w:val="0"/>
        <w:keepLines w:val="0"/>
        <w:widowControl w:val="1"/>
      </w:pPr>
      <w:r>
        <w:t xml:space="preserve">The validation half of the DGLD pipeline relies on three external tools that are not part of the generative-modelling literature. GFN2-xTB</w:t>
      </w:r>
      <w:r>
        <w:t xml:space="preserve"> </w:t>
      </w:r>
      <w:hyperlink w:anchor="ref-bannwarth2019gfn2">
        <w:r>
          <w:rPr>
            <w:rStyle w:val="Hyperlink"/>
          </w:rPr>
          <w:t xml:space="preserve">[bannwarth2019]</w:t>
        </w:r>
      </w:hyperlink>
      <w:r>
        <w:t xml:space="preserve"> </w:t>
      </w:r>
      <w:r>
        <w:t xml:space="preserve">is the semi-empirical tight-binding method we use for sample-time HOMO–LUMO gap triage on top leads (§5.3, §F.4); it runs in seconds per molecule on CPU, is well-calibrated for organic CHNO, and provides a stability proxy that is independent of the 3D-CNN surrogate's training distribution. The gpu4pyscf bindings on top of the PySCF framework</w:t>
      </w:r>
      <w:r>
        <w:t xml:space="preserve"> </w:t>
      </w:r>
      <w:hyperlink w:anchor="ref-sun2020pyscf">
        <w:r>
          <w:rPr>
            <w:rStyle w:val="Hyperlink"/>
          </w:rPr>
          <w:t xml:space="preserve">[sun2020]</w:t>
        </w:r>
      </w:hyperlink>
      <w:r>
        <w:t xml:space="preserve"> </w:t>
      </w:r>
      <w:r>
        <w:t xml:space="preserve">supply our DFT pipeline (§5.3, Appendix C). GPU offloading reduces a single B3LYP/6-31G(d) opt + Hessian for a 15–25-atom CHNO molecule from hours on CPU to under one hour on a single A100, which is what makes per-lead first-principles validation budget-feasible. AiZynthFinder</w:t>
      </w:r>
      <w:r>
        <w:t xml:space="preserve"> </w:t>
      </w:r>
      <w:hyperlink w:anchor="ref-genheden2020aizynth">
        <w:r>
          <w:rPr>
            <w:rStyle w:val="Hyperlink"/>
          </w:rPr>
          <w:t xml:space="preserve">[genheden2020]</w:t>
        </w:r>
      </w:hyperlink>
      <w:r>
        <w:t xml:space="preserve"> </w:t>
      </w:r>
      <w:r>
        <w:t xml:space="preserve">performs the retrosynthetic plausibility check of §5.4 via Monte-Carlo tree search over a USPTO template set against a ZINC in-stock catalog; we treat it as a positive-only check, since an empty result reflects template-database scope rather than unsynthesisability. The accuracy expected of any DFT functional we use is calibrated by the GMTKN55 benchmark suite of Goerigk et al.</w:t>
      </w:r>
      <w:r>
        <w:t xml:space="preserve"> </w:t>
      </w:r>
      <w:hyperlink w:anchor="ref-goerigk2017benchmark">
        <w:r>
          <w:rPr>
            <w:rStyle w:val="Hyperlink"/>
          </w:rPr>
          <w:t xml:space="preserve">[goerigk2017]</w:t>
        </w:r>
      </w:hyperlink>
      <w:r>
        <w:t xml:space="preserve">, which evaluates the density-functional zoo over a broad cross-section of main-group thermochemistry, kinetics and noncovalent interactions and grounds our choice of functional and basis.</w:t>
      </w:r>
    </w:p>
    <w:bookmarkEnd w:id="26"/>
    <w:bookmarkEnd w:id="27"/>
    <w:bookmarkStart w:id="40" w:name="sec-data"/>
    <w:p>
      <w:pPr>
        <w:pStyle w:val="Heading2"/>
        <w:keepNext/>
        <w:keepLines/>
        <w:widowControl w:val="1"/>
      </w:pPr>
      <w:r>
        <w:t xml:space="preserve">3. Dataset</w:t>
      </w:r>
    </w:p>
    <w:p>
      <w:pPr>
        <w:pStyle w:val="FirstParagraph"/>
        <w:jc w:val="both"/>
        <w:keepNext w:val="0"/>
        <w:keepLines w:val="0"/>
        <w:widowControl w:val="1"/>
      </w:pPr>
      <w:r>
        <w:t xml:space="preserve">We assemble the training data by collecting molecules from several public sources that differ in both reliability and chemical scope. A small experimental core carries detonation properties measured in the laboratory; a larger DFT-quality slice carries energies and densities from first-principles simulation; a wider Kamlet–Jacobs-derived layer carries closed-form estimates from quoted density and heat of formation; and a model-derived majority carries surrogate predictions from a 3D-CNN ensemble trained on the union of the higher tiers. Some sources are restricted to energetic CHNO and CHNOClF chemistry (a</w:t>
      </w:r>
      <w:r>
        <w:t xml:space="preserve"> </w:t>
      </w:r>
      <w:r>
        <w:rPr>
          <w:b/>
          <w:bCs/>
        </w:rPr>
        <w:t xml:space="preserve">labelled master</w:t>
      </w:r>
      <w:r>
        <w:t xml:space="preserve"> </w:t>
      </w:r>
      <w:r>
        <w:t xml:space="preserve">of</w:t>
      </w:r>
      <w:r>
        <w:t xml:space="preserve"> </w:t>
      </w:r>
      <m:oMath>
        <m:r>
          <m:rPr>
            <m:sty m:val="p"/>
          </m:rPr>
          <m:t>∼</m:t>
        </m:r>
        <m:r>
          <m:t>66</m:t>
        </m:r>
      </m:oMath>
      <w:r>
        <w:t xml:space="preserve"> k canonical SMILES (note: the labelled master includes CHNOClF molecules; the Stage-1 SMARTS gate at output removes all halogens, so all reported leads are CHNO-only) with at least one measured property and a</w:t>
      </w:r>
      <w:r>
        <w:t xml:space="preserve"> </w:t>
      </w:r>
      <w:r>
        <w:rPr>
          <w:b/>
          <w:bCs/>
        </w:rPr>
        <w:t xml:space="preserve">motif-augmented expansion</w:t>
      </w:r>
      <w:r>
        <w:t xml:space="preserve"> </w:t>
      </w:r>
      <w:r>
        <w:t xml:space="preserve">that systematically substitutes nitro / nitramine / azide / tetrazole groups onto labelled scaffolds); others draw from broader chemistry corpora (an</w:t>
      </w:r>
      <w:r>
        <w:t xml:space="preserve"> </w:t>
      </w:r>
      <w:r>
        <w:rPr>
          <w:b/>
          <w:bCs/>
        </w:rPr>
        <w:t xml:space="preserve">unlabelled energetic SMILES dump</w:t>
      </w:r>
      <w:r>
        <w:t xml:space="preserve"> </w:t>
      </w:r>
      <w:r>
        <w:t xml:space="preserve">of</w:t>
      </w:r>
      <w:r>
        <w:t xml:space="preserve"> </w:t>
      </w:r>
      <m:oMath>
        <m:r>
          <m:rPr>
            <m:sty m:val="p"/>
          </m:rPr>
          <m:t>∼</m:t>
        </m:r>
        <m:r>
          <m:t>380</m:t>
        </m:r>
      </m:oMath>
      <w:r>
        <w:t xml:space="preserve"> k from the same chemical domain) that the diffusion model uses only to learn the unconditional prior. Every row is canonicalised to a single RDKit canonical SMILES, deduplicated across sources, and tagged with a trust tier; each property label is then used according to its reliability via the conditioning-mask recipe of §3.1. After cross-source deduplication and token-length filtering, the merged pretraining pool comprises</w:t>
      </w:r>
      <w:r>
        <w:t xml:space="preserve"> </w:t>
      </w:r>
      <m:oMath>
        <m:r>
          <m:rPr>
            <m:sty m:val="p"/>
          </m:rPr>
          <m:t>∼</m:t>
        </m:r>
        <m:r>
          <m:t>694</m:t>
        </m:r>
      </m:oMath>
      <w:r>
        <w:t xml:space="preserve"> k unique molecules (pre-deduplication: 66k labelled + 380k unlabelled CHNO + 1.08M motif-augmented expansions = 1.53M; after canonical-SMILES deduplication across all three pools: 694k unique molecules; the motif-augmented pool contributes ~230k survivors after dedup with the base two pools), of which</w:t>
      </w:r>
      <w:r>
        <w:t xml:space="preserve"> </w:t>
      </w:r>
      <m:oMath>
        <m:r>
          <m:rPr>
            <m:sty m:val="p"/>
          </m:rPr>
          <m:t>∼</m:t>
        </m:r>
        <m:r>
          <m:t>66</m:t>
        </m:r>
      </m:oMath>
      <w:r>
        <w:t xml:space="preserve"> k carry at least one property label. The complete source provenance (per-source row counts, citations, license terms, role in the four-tier hierarchy), the canonicalisation and tokenisation pipeline, and the high-tail oversampling ratios used during training are documented in Appendix A.1 / D. Joint property distributions and per-property histograms over the labelled corpus are shown in Figs 3 and 4; the label-tier composition (Fig 5) sits alongside the four-tier table in §3.1; atom-composition statistics over a 30k subsample are shown in Fig A.1.</w:t>
      </w:r>
    </w:p>
    <w:p>
      <w:pPr>
        <w:pStyle w:val="BodyText"/>
        <w:jc w:val="center"/>
        <w:keepNext/>
        <w:keepLines/>
        <w:widowControl w:val="1"/>
      </w:pPr>
      <w:r>
        <w:drawing>
          <wp:inline>
            <wp:extent cx="5943600" cy="4245959"/>
            <wp:effectExtent b="0" l="0" r="0" t="0"/>
            <wp:docPr descr="Density vs detonation velocity scatter" title="" id="29" name="Picture"/>
            <a:graphic>
              <a:graphicData uri="http://schemas.openxmlformats.org/drawingml/2006/picture">
                <pic:pic>
                  <pic:nvPicPr>
                    <pic:cNvPr descr="figs/fig_eda_density_vs_velocity.png" id="30" name="Picture"/>
                    <pic:cNvPicPr>
                      <a:picLocks noChangeArrowheads="1" noChangeAspect="1"/>
                    </pic:cNvPicPr>
                  </pic:nvPicPr>
                  <pic:blipFill>
                    <a:blip r:embed="rId28"/>
                    <a:stretch>
                      <a:fillRect/>
                    </a:stretch>
                  </pic:blipFill>
                  <pic:spPr bwMode="auto">
                    <a:xfrm>
                      <a:off x="0" y="0"/>
                      <a:ext cx="5943600" cy="4245959"/>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3.</w:t>
      </w:r>
      <w:r>
        <w:t xml:space="preserve"> </w:t>
      </w:r>
      <w:r>
        <w:t xml:space="preserve">Properties of the labelled corpus. Joint distribution of density and detonation velocity, with literature anchors overlaid. The bulk of the labelled distribution sits at</w:t>
      </w:r>
      <w:r>
        <w:t xml:space="preserve"> </w:t>
      </w:r>
      <m:oMath>
        <m:r>
          <m:t>ρ</m:t>
        </m:r>
        <m:r>
          <m:rPr>
            <m:sty m:val="p"/>
          </m:rPr>
          <m:t>&lt;</m:t>
        </m:r>
        <m:r>
          <m:t>1.85</m:t>
        </m:r>
      </m:oMath>
      <w:r>
        <w:t xml:space="preserve">,</w:t>
      </w:r>
      <w:r>
        <w:t xml:space="preserve"> </w:t>
      </w:r>
      <m:oMath>
        <m:r>
          <m:t>D</m:t>
        </m:r>
        <m:r>
          <m:rPr>
            <m:sty m:val="p"/>
          </m:rPr>
          <m:t>&lt;</m:t>
        </m:r>
        <m:r>
          <m:t>8.5</m:t>
        </m:r>
      </m:oMath>
      <w:r>
        <w:t xml:space="preserve"> </w:t>
      </w:r>
      <w:r>
        <w:t xml:space="preserve">km/s; the high-tail above</w:t>
      </w:r>
      <w:r>
        <w:t xml:space="preserve"> </w:t>
      </w:r>
      <m:oMath>
        <m:r>
          <m:t>D</m:t>
        </m:r>
        <m:r>
          <m:rPr>
            <m:sty m:val="p"/>
          </m:rPr>
          <m:t>=</m:t>
        </m:r>
        <m:r>
          <m:t>9</m:t>
        </m:r>
      </m:oMath>
      <w:r>
        <w:t xml:space="preserve"> </w:t>
      </w:r>
      <w:r>
        <w:t xml:space="preserve">km/s contains only a handful of compounds (CL-20, HMX, RDX-class). Generation must extrapolate into this tail.</w:t>
      </w:r>
    </w:p>
    <w:p>
      <w:pPr>
        <w:pStyle w:val="BodyText"/>
        <w:jc w:val="center"/>
        <w:keepNext/>
        <w:keepLines/>
        <w:widowControl w:val="1"/>
      </w:pPr>
      <w:r>
        <w:drawing>
          <wp:inline>
            <wp:extent cx="5943600" cy="4067651"/>
            <wp:effectExtent b="0" l="0" r="0" t="0"/>
            <wp:docPr descr="Property histograms" title="" id="32" name="Picture"/>
            <a:graphic>
              <a:graphicData uri="http://schemas.openxmlformats.org/drawingml/2006/picture">
                <pic:pic>
                  <pic:nvPicPr>
                    <pic:cNvPr descr="figs/fig_eda_property_hists.png" id="33" name="Picture"/>
                    <pic:cNvPicPr>
                      <a:picLocks noChangeArrowheads="1" noChangeAspect="1"/>
                    </pic:cNvPicPr>
                  </pic:nvPicPr>
                  <pic:blipFill>
                    <a:blip r:embed="rId31"/>
                    <a:stretch>
                      <a:fillRect/>
                    </a:stretch>
                  </pic:blipFill>
                  <pic:spPr bwMode="auto">
                    <a:xfrm>
                      <a:off x="0" y="0"/>
                      <a:ext cx="5943600" cy="4067651"/>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4.</w:t>
      </w:r>
      <w:r>
        <w:t xml:space="preserve"> </w:t>
      </w:r>
      <w:r>
        <w:t xml:space="preserve">Per-property histograms over the labelled corpus. Density and detonation velocity are sharply peaked; HOF has a heavy tail that the high-tail-oversampling recipe (§3.3) is designed to amplify during conditioning.</w:t>
      </w:r>
    </w:p>
    <w:bookmarkStart w:id="37" w:name="four-tier-label-hierarchy"/>
    <w:p>
      <w:pPr>
        <w:pStyle w:val="Heading3"/>
        <w:keepNext/>
        <w:keepLines/>
        <w:widowControl w:val="1"/>
      </w:pPr>
      <w:r>
        <w:t xml:space="preserve">3.1 Four-tier label hierarchy</w:t>
      </w:r>
    </w:p>
    <w:p>
      <w:pPr>
        <w:pStyle w:val="FirstParagraph"/>
        <w:jc w:val="both"/>
        <w:keepNext w:val="0"/>
        <w:keepLines w:val="0"/>
        <w:widowControl w:val="1"/>
      </w:pPr>
      <w:r>
        <w:t xml:space="preserve">Available property labels in the energetic-materials literature span four orders of reliability, from a small core of experimental measurements to a large majority of model-derived estimates. A naive concatenation would let the noisiest tier dominate the conditional gradient and degrade calibration in the high-property tail; discarding the noisier tiers would throw away most of the training signal. We resolve this by annotating each property label with a trust tier and gating the conditional gradient accordingly: only Tier-A and Tier-B rows participate in the conditional signal, while Tier-C and Tier-D rows train the unconditional prior via classifier-free-guidance dropout (§4.3). Each label per row carries one of the following tiers:</w:t>
      </w:r>
    </w:p>
    <w:p>
      <w:pPr>
        <w:pStyle w:val="BodyText"/>
        <w:jc w:val="center"/>
        <w:keepNext/>
        <w:keepLines/>
        <w:widowControl w:val="1"/>
      </w:pPr>
      <w:r>
        <w:drawing>
          <wp:inline>
            <wp:extent cx="5943600" cy="3714750"/>
            <wp:effectExtent b="0" l="0" r="0" t="0"/>
            <wp:docPr descr="Tier composition pies" title="" id="35" name="Picture"/>
            <a:graphic>
              <a:graphicData uri="http://schemas.openxmlformats.org/drawingml/2006/picture">
                <pic:pic>
                  <pic:nvPicPr>
                    <pic:cNvPr descr="figs/fig_eda_tier_composition.png" id="36" name="Picture"/>
                    <pic:cNvPicPr>
                      <a:picLocks noChangeArrowheads="1" noChangeAspect="1"/>
                    </pic:cNvPicPr>
                  </pic:nvPicPr>
                  <pic:blipFill>
                    <a:blip r:embed="rId34"/>
                    <a:stretch>
                      <a:fillRect/>
                    </a:stretch>
                  </pic:blipFill>
                  <pic:spPr bwMode="auto">
                    <a:xfrm>
                      <a:off x="0" y="0"/>
                      <a:ext cx="5943600" cy="371475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5.</w:t>
      </w:r>
      <w:r>
        <w:t xml:space="preserve"> </w:t>
      </w:r>
      <w:r>
        <w:t xml:space="preserve">Label-tier composition by property (tiers defined in Table 1 below): experimental Tier-A and DFT-derived Tier-B labels are present for only a small fraction of rows on each axis, while Kamlet–Jacobs Tier-C and 3D-CNN Tier-D labels dominate by volume. Trust-gating decouples corpus volume from conditional-signal quality.</w:t>
      </w:r>
    </w:p>
    <w:p>
      <w:pPr>
        <w:pStyle w:val="TableCaption"/>
        <w:spacing w:before="160" w:after="60" w:line="240" w:lineRule="auto"/>
        <w:jc w:val="center"/>
        <w:keepNext/>
        <w:keepLines/>
        <w:widowControl w:val="1"/>
      </w:pPr>
      <w:r>
        <w:rPr>
          <w:b/>
          <w:bCs/>
        </w:rPr>
        <w:t xml:space="preserve">Table 1.</w:t>
      </w:r>
      <w:r>
        <w:t xml:space="preserve"> </w:t>
      </w:r>
      <w:r>
        <w:t xml:space="preserve">Four-tier label-trust hierarchy. Tier-A (experimental) and Tier-B (DFT-derived) drive the conditional gradient via FiLM modulation; Tier-C (Kamlet–Jacobs derived) and Tier-D (3D-CNN surrogate) train the unconditional prior via classifier-free-guidance dropout (§4.3). Approximate row counts after cross-source canonical-SMILES deduplication.</w:t>
      </w:r>
    </w:p>
    <w:tbl>
      <w:tblPr>
        <w:tblStyle w:val="Table"/>
        <w:tblW w:type="pct" w:w="5000"/>
        <w:jc w:val="center"/>
        <w:tblLook w:firstRow="1" w:lastRow="0" w:firstColumn="0" w:lastColumn="0" w:noHBand="0" w:noVBand="0" w:val="0020"/>
        <w:tblCaption w:val="Table 1. Four-tier label-trust hierarchy. Tier-A (experimental) and Tier-B (DFT-derived) drive the conditional gradient via FiLM modulation; Tier-C (Kamlet–Jacobs derived) and Tier-D (3D-CNN surrogate) train the unconditional prior via classifier-free-guidance dropout (§4.3). Approximate row counts after cross-source canonical-SMILES deduplication."/>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Tier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Source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 rows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Trusted for conditioning?</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A</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Experimental measurement (literature)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~3 000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DFT-derived (B3LYP/6-31G* heat of formation; experimentally-anchored density)</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~9 000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Kamlet–Jacobs derived from quoted density &amp; HOF (regime-limited: reliable for oxygen-deficient CHNO with</w:t>
            </w:r>
            <w:r>
              <w:rPr>
                <w:rFonts w:ascii="Times New Roman" w:hAnsi="Times New Roman"/>
                <w:sz w:val="20"/>
              </w:rPr>
              <w:t xml:space="preserve"> </w:t>
            </w:r>
            <m:oMath>
              <m:r>
                <m:t>2</m:t>
              </m:r>
              <m:r>
                <m:t>a</m:t>
              </m:r>
              <m:r>
                <m:rPr>
                  <m:sty m:val="p"/>
                </m:rPr>
                <m:t>+</m:t>
              </m:r>
              <m:r>
                <m:t>b</m:t>
              </m:r>
              <m:r>
                <m:rPr>
                  <m:sty m:val="p"/>
                </m:rPr>
                <m:t>/</m:t>
              </m:r>
              <m:r>
                <m:t>2</m:t>
              </m:r>
              <m:r>
                <m:rPr>
                  <m:sty m:val="p"/>
                </m:rPr>
                <m:t>≥</m:t>
              </m:r>
              <m:r>
                <m:t>d</m:t>
              </m:r>
              <m:r>
                <m:rPr>
                  <m:sty m:val="p"/>
                </m:rPr>
                <m:t>≥</m:t>
              </m:r>
              <m:r>
                <m:t>b</m:t>
              </m:r>
              <m:r>
                <m:rPr>
                  <m:sty m:val="p"/>
                </m:rPr>
                <m:t>/</m:t>
              </m:r>
              <m:r>
                <m:t>2</m:t>
              </m:r>
            </m:oMath>
            <w:r>
              <w:rPr>
                <w:rFonts w:ascii="Times New Roman" w:hAnsi="Times New Roman"/>
                <w:sz w:val="20"/>
              </w:rPr>
              <w:t xml:space="preserve">; under-predicts</w:t>
            </w:r>
            <w:r>
              <w:rPr>
                <w:rFonts w:ascii="Times New Roman" w:hAnsi="Times New Roman"/>
                <w:sz w:val="20"/>
              </w:rPr>
              <w:t xml:space="preserve"> </w:t>
            </w:r>
            <m:oMath>
              <m:r>
                <m:t>D</m:t>
              </m:r>
            </m:oMath>
            <w:r>
              <w:rPr>
                <w:rFonts w:ascii="Times New Roman" w:hAnsi="Times New Roman"/>
                <w:sz w:val="20"/>
              </w:rPr>
              <w:t xml:space="preserve"> </w:t>
            </w:r>
            <w:r>
              <w:rPr>
                <w:rFonts w:ascii="Times New Roman" w:hAnsi="Times New Roman"/>
                <w:sz w:val="20"/>
              </w:rPr>
              <w:t xml:space="preserve">for high-N low-H compounds where the assumed gas-product distribution is wrong)</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~25 000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no (mask out)</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3D-CNN smoke-model surrogate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~30 000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no (mask out)</w:t>
            </w:r>
          </w:p>
        </w:tc>
      </w:tr>
    </w:tbl>
    <w:p>
      <w:pPr>
        <w:pStyle w:val="BodyText"/>
        <w:spacing w:before="160"/>
        <w:jc w:val="both"/>
        <w:keepNext w:val="0"/>
        <w:keepLines w:val="0"/>
        <w:widowControl w:val="1"/>
      </w:pPr>
      <w:r>
        <w:t xml:space="preserve">The denoiser conditional gradient fires only on Tier-A and Tier-B rows; Tier-C and Tier-D rows train the unconditional prior via classifier-free-guidance dropout (§4.3). This recipe lets the full corpus shape the marginal density of the generative model without letting noisy labels contaminate the conditional gradient. Each row carries a graded</w:t>
      </w:r>
      <w:r>
        <w:t xml:space="preserve"> </w:t>
      </w:r>
      <w:r>
        <w:rPr>
          <w:i/>
          <w:iCs/>
        </w:rPr>
        <w:t xml:space="preserve">tier weight</w:t>
      </w:r>
      <w:r>
        <w:t xml:space="preserve"> </w:t>
      </w:r>
      <m:oMath>
        <m:r>
          <m:t>ω</m:t>
        </m:r>
        <m:r>
          <m:rPr>
            <m:sty m:val="p"/>
          </m:rPr>
          <m:t>∈</m:t>
        </m:r>
        <m:r>
          <m:rPr>
            <m:sty m:val="p"/>
          </m:rPr>
          <m:t>[</m:t>
        </m:r>
        <m:r>
          <m:t>0</m:t>
        </m:r>
        <m:r>
          <m:rPr>
            <m:sty m:val="p"/>
          </m:rPr>
          <m:t>,</m:t>
        </m:r>
        <m:r>
          <m:t>1</m:t>
        </m:r>
        <m:r>
          <m:rPr>
            <m:sty m:val="p"/>
          </m:rPr>
          <m:t>]</m:t>
        </m:r>
      </m:oMath>
      <w:r>
        <w:t xml:space="preserve">, with default values</w:t>
      </w:r>
      <w:r>
        <w:t xml:space="preserve"> </w:t>
      </w:r>
      <m:oMath>
        <m:sSub>
          <m:e>
            <m:r>
              <m:t>w</m:t>
            </m:r>
          </m:e>
          <m:sub>
            <m:r>
              <m:t>A</m:t>
            </m:r>
          </m:sub>
        </m:sSub>
        <m:r>
          <m:rPr>
            <m:sty m:val="p"/>
          </m:rPr>
          <m:t>=</m:t>
        </m:r>
        <m:r>
          <m:t>1.0</m:t>
        </m:r>
      </m:oMath>
      <w:r>
        <w:t xml:space="preserve">,</w:t>
      </w:r>
      <w:r>
        <w:t xml:space="preserve"> </w:t>
      </w:r>
      <m:oMath>
        <m:sSub>
          <m:e>
            <m:r>
              <m:t>w</m:t>
            </m:r>
          </m:e>
          <m:sub>
            <m:r>
              <m:t>B</m:t>
            </m:r>
          </m:sub>
        </m:sSub>
        <m:r>
          <m:rPr>
            <m:sty m:val="p"/>
          </m:rPr>
          <m:t>=</m:t>
        </m:r>
        <m:r>
          <m:t>0.7</m:t>
        </m:r>
      </m:oMath>
      <w:r>
        <w:t xml:space="preserve">,</w:t>
      </w:r>
      <w:r>
        <w:t xml:space="preserve"> </w:t>
      </w:r>
      <m:oMath>
        <m:sSub>
          <m:e>
            <m:r>
              <m:t>w</m:t>
            </m:r>
          </m:e>
          <m:sub>
            <m:r>
              <m:t>C</m:t>
            </m:r>
          </m:sub>
        </m:sSub>
        <m:r>
          <m:rPr>
            <m:sty m:val="p"/>
          </m:rPr>
          <m:t>=</m:t>
        </m:r>
        <m:r>
          <m:t>0.3</m:t>
        </m:r>
      </m:oMath>
      <w:r>
        <w:t xml:space="preserve">,</w:t>
      </w:r>
      <w:r>
        <w:t xml:space="preserve"> </w:t>
      </w:r>
      <m:oMath>
        <m:sSub>
          <m:e>
            <m:r>
              <m:t>w</m:t>
            </m:r>
          </m:e>
          <m:sub>
            <m:r>
              <m:t>D</m:t>
            </m:r>
          </m:sub>
        </m:sSub>
        <m:r>
          <m:rPr>
            <m:sty m:val="p"/>
          </m:rPr>
          <m:t>=</m:t>
        </m:r>
        <m:r>
          <m:t>0.1</m:t>
        </m:r>
      </m:oMath>
      <w:r>
        <w:t xml:space="preserve">; later sections gate the conditional gradient and weight the per-row loss by these values.</w:t>
      </w:r>
    </w:p>
    <w:bookmarkEnd w:id="37"/>
    <w:bookmarkStart w:id="38" w:name="canonicalisation-and-tokenisation"/>
    <w:p>
      <w:pPr>
        <w:pStyle w:val="Heading3"/>
        <w:keepNext/>
        <w:keepLines/>
        <w:widowControl w:val="1"/>
      </w:pPr>
      <w:r>
        <w:t xml:space="preserve">3.2 Canonicalisation and tokenisation</w:t>
      </w:r>
    </w:p>
    <w:p>
      <w:pPr>
        <w:pStyle w:val="FirstParagraph"/>
        <w:jc w:val="both"/>
        <w:keepNext w:val="0"/>
        <w:keepLines w:val="0"/>
        <w:widowControl w:val="1"/>
      </w:pPr>
      <w:r>
        <w:t xml:space="preserve">Every SMILES string is canonicalised with RDKit</w:t>
      </w:r>
      <w:r>
        <w:t xml:space="preserve"> </w:t>
      </w:r>
      <w:hyperlink w:anchor="ref-landrum2024rdkit">
        <w:r>
          <w:rPr>
            <w:rStyle w:val="Hyperlink"/>
          </w:rPr>
          <w:t xml:space="preserve">[22a]</w:t>
        </w:r>
      </w:hyperlink>
      <w:r>
        <w:t xml:space="preserve"> </w:t>
      </w:r>
      <w:r>
        <w:t xml:space="preserve">(a fixed traversal order so that the same molecule yields the same string regardless of how the source database wrote it), converted to SELFIES (a robust tokenisation in which every legal token sequence decodes to a chemically valid molecule), and tokenised to the LIMO alphabet. Tokenisation, alphabet size, and the per-source preprocessing pipeline are in Appendix A.2. This step is purely data-side: no learned parameters are fit here; the output is a token-tensor representation of the corpus that the model of §4 will consume.</w:t>
      </w:r>
    </w:p>
    <w:bookmarkEnd w:id="38"/>
    <w:bookmarkStart w:id="39" w:name="training-time-high-tail-oversampling"/>
    <w:p>
      <w:pPr>
        <w:pStyle w:val="Heading3"/>
        <w:keepNext/>
        <w:keepLines/>
        <w:widowControl w:val="1"/>
      </w:pPr>
      <w:r>
        <w:t xml:space="preserve">3.3 Training-time high-tail oversampling</w:t>
      </w:r>
    </w:p>
    <w:p>
      <w:pPr>
        <w:pStyle w:val="FirstParagraph"/>
        <w:jc w:val="both"/>
        <w:keepNext w:val="0"/>
        <w:keepLines w:val="0"/>
        <w:widowControl w:val="1"/>
      </w:pPr>
      <w:r>
        <w:t xml:space="preserve">The labelled detonation-velocity distribution is sharply peaked around 7–8 km/s, so during training Tier-A/B rows above the 90th percentile are oversampled by 5×–10×; this</w:t>
      </w:r>
      <w:r>
        <w:t xml:space="preserve"> </w:t>
      </w:r>
      <w:r>
        <w:rPr>
          <w:i/>
          <w:iCs/>
        </w:rPr>
        <w:t xml:space="preserve">asymmetric high-tail oversampling</w:t>
      </w:r>
      <w:r>
        <w:t xml:space="preserve"> </w:t>
      </w:r>
      <w:r>
        <w:t xml:space="preserve">raises the mean predicted velocity of the top leads by 0.4 km/s relative to a uniform-sampling control. The oversampling ablation is in Appendix D.4. The two denoiser variants of §4.3 differ in which property tail they apply this oversampling to (HOF tail vs ρ/D/P tail).</w:t>
      </w:r>
    </w:p>
    <w:bookmarkEnd w:id="39"/>
    <w:bookmarkEnd w:id="40"/>
    <w:bookmarkStart w:id="99" w:name="sec-method"/>
    <w:p>
      <w:pPr>
        <w:pStyle w:val="Heading2"/>
        <w:keepNext/>
        <w:keepLines/>
        <w:widowControl w:val="1"/>
      </w:pPr>
      <w:r>
        <w:t xml:space="preserve">4. Methodology</w:t>
      </w:r>
    </w:p>
    <w:bookmarkStart w:id="45" w:name="overview-and-pipeline-map"/>
    <w:p>
      <w:pPr>
        <w:pStyle w:val="Heading3"/>
        <w:keepNext/>
        <w:keepLines/>
        <w:widowControl w:val="1"/>
      </w:pPr>
      <w:r>
        <w:t xml:space="preserve">4.1 Overview and pipeline map</w:t>
      </w:r>
    </w:p>
    <w:p>
      <w:pPr>
        <w:pStyle w:val="FirstParagraph"/>
        <w:jc w:val="both"/>
        <w:keepNext w:val="0"/>
        <w:keepLines w:val="0"/>
        <w:widowControl w:val="1"/>
      </w:pPr>
      <w:r>
        <w:t xml:space="preserve">DGLD is a four-stage pipeline (Figs 6–15): an encode-once LIMO VAE (Fig 7) feeds a conditional latent DDPM denoiser (Fig 9), whose sampling trajectory (Fig 13) is steered by a multi-task score model trained offline (Fig 11), and whose decoded candidates are filtered by a SMARTS+Pareto rerank funnel (Fig 14). The rest of §4 is organised one subsection per diagram panel; small panels are paired (§4.6 covers Fig 10 and §4.7 covers Fig 11), and the post-decode pipeline is split across three subsections (§4.9 Sampling covers Fig 13, §4.10 Filtering covers Fig 14, §4.11 Pool fusion covers Fig 15). §4.12 documents how every numeric constant in §4.2–§4.11 was selected. LIMO encoding is run once and cached, so all training and sampling happens in latent space; the decoder is invoked only at the end to read candidates back as SMILES. The conditional gradient is restricted to Tier-A and Tier-B rows; Tier-C and Tier-D rows drive the unconditional CFG branch only (§3.1, §4.3).</w:t>
      </w:r>
    </w:p>
    <w:bookmarkStart w:id="44" w:name="fig-6"/>
    <w:p>
      <w:pPr>
        <w:pStyle w:val="BodyText"/>
        <w:jc w:val="center"/>
        <w:keepNext/>
        <w:keepLines/>
        <w:widowControl w:val="1"/>
      </w:pPr>
      <w:r>
        <w:drawing>
          <wp:inline>
            <wp:extent cx="5943600" cy="1585433"/>
            <wp:effectExtent b="0" l="0" r="0" t="0"/>
            <wp:docPr descr="DGLD four-stage pipeline overview: encode (LIMO VAE) - generate (conditional latent DDPM) - guide (multi-task score model) - filter (SMARTS, Pareto, xTB, DFT)" title="" id="42" name="Picture"/>
            <a:graphic>
              <a:graphicData uri="http://schemas.openxmlformats.org/drawingml/2006/picture">
                <pic:pic>
                  <pic:nvPicPr>
                    <pic:cNvPr descr="figs/fig4_1_pipeline_overview.png" id="43" name="Picture"/>
                    <pic:cNvPicPr>
                      <a:picLocks noChangeArrowheads="1" noChangeAspect="1"/>
                    </pic:cNvPicPr>
                  </pic:nvPicPr>
                  <pic:blipFill>
                    <a:blip r:embed="rId41"/>
                    <a:stretch>
                      <a:fillRect/>
                    </a:stretch>
                  </pic:blipFill>
                  <pic:spPr bwMode="auto">
                    <a:xfrm>
                      <a:off x="0" y="0"/>
                      <a:ext cx="5943600" cy="158543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6.</w:t>
      </w:r>
      <w:r>
        <w:t xml:space="preserve"> </w:t>
      </w:r>
      <w:r>
        <w:t xml:space="preserve">DGLD pipeline preview: encode (LIMO VAE) -&gt; generate (conditional latent DDPM) -&gt; guide (multi-task score model) -&gt; filter (SMARTS, Pareto, xTB, DFT). The trust-gating annotation under the row reminds the reader that Tier-A/B labels drive the conditional gradient while Tier-C/D drive the unconditional CFG branch only. Stage references inside each box point at the per-stage panel that walks it.</w:t>
      </w:r>
    </w:p>
    <w:bookmarkEnd w:id="44"/>
    <w:bookmarkEnd w:id="45"/>
    <w:bookmarkStart w:id="50" w:name="X8457ad1220a60aa1fb816e34a4c4693830d56b4"/>
    <w:p>
      <w:pPr>
        <w:pStyle w:val="Heading3"/>
        <w:keepNext/>
        <w:keepLines/>
        <w:widowControl w:val="1"/>
      </w:pPr>
      <w:r>
        <w:t xml:space="preserve">4.2 LIMO fine-tuning and one-time latent caching</w:t>
      </w:r>
    </w:p>
    <w:p>
      <w:pPr>
        <w:pStyle w:val="FirstParagraph"/>
        <w:jc w:val="both"/>
        <w:keepNext w:val="0"/>
        <w:keepLines w:val="0"/>
        <w:widowControl w:val="1"/>
      </w:pPr>
      <w:r>
        <w:t xml:space="preserve">LIMO is the molecular-text VAE that supplies the cached latent μ used everywhere downstream. We fine-tune the pretrained checkpoint on the 326k energetic corpus to specialise the encoder, then freeze it for the rest of the pipeline. Sampling during fine-tuning is uniform; high-tail oversampling lives at the §4.4 denoiser-training stage and is not applied here.</w:t>
      </w:r>
    </w:p>
    <w:p>
      <w:pPr>
        <w:pStyle w:val="BodyText"/>
        <w:jc w:val="both"/>
        <w:keepNext w:val="0"/>
        <w:keepLines w:val="0"/>
        <w:widowControl w:val="1"/>
      </w:pPr>
      <w:r>
        <w:t xml:space="preserve">We start from the pretrained LIMO checkpoint distributed with</w:t>
      </w:r>
      <w:r>
        <w:t xml:space="preserve"> </w:t>
      </w:r>
      <w:hyperlink w:anchor="ref-eckmann2022limo">
        <w:r>
          <w:rPr>
            <w:rStyle w:val="Hyperlink"/>
          </w:rPr>
          <w:t xml:space="preserve">[1]</w:t>
        </w:r>
      </w:hyperlink>
      <w:r>
        <w:t xml:space="preserve">. The encoder maps a (B, 72) SELFIES-token tensor through a 64-dim embedding and a four-layer MLP (Linear(72·64→2000)–ReLU–Linear(2000→1000)–BN–ReLU–Linear(1000→1000)–BN–ReLU–Linear(1000→2·1024)) to a (B, 1024) Gaussian latent (the final 2·1024 head packs μ and log σ</w:t>
      </w:r>
      <w:r>
        <w:rPr>
          <w:vertAlign w:val="superscript"/>
        </w:rPr>
        <w:t xml:space="preserve">2</w:t>
      </w:r>
      <w:r>
        <w:t xml:space="preserve">); the decoder mirrors this with Linear(1024→1000)–BN–ReLU–Linear(1000→1000)–BN–ReLU–Linear(1000→2000)–ReLU–Linear(2000→72·108) and produces a (B, 72, 108) log-probability tensor in parallel (no autoregression). Layer-by-layer widths and parameter counts are in Table B.1a. We fine-tune all parameters for</w:t>
      </w:r>
      <w:r>
        <w:t xml:space="preserve"> </w:t>
      </w:r>
      <m:oMath>
        <m:r>
          <m:rPr>
            <m:sty m:val="p"/>
          </m:rPr>
          <m:t>∼</m:t>
        </m:r>
      </m:oMath>
      <w:r>
        <w:t xml:space="preserve">8.5k steps on the 326 k energetic-biased SMILES corpus with the standard ELBO,</w:t>
      </w:r>
    </w:p>
    <w:p>
      <w:pPr>
        <w:pStyle w:val="BodyText"/>
      </w:pPr>
      <m:oMathPara>
        <m:oMathParaPr>
          <m:jc m:val="center"/>
        </m:oMathParaPr>
        <m:oMath>
          <m:r>
            <m:rPr>
              <m:scr m:val="script"/>
              <m:sty m:val="p"/>
            </m:rPr>
            <m:t>L</m:t>
          </m:r>
          <m:r>
            <m:rPr>
              <m:sty m:val="p"/>
            </m:rPr>
            <m:t>(</m:t>
          </m:r>
          <m:r>
            <m:t>x</m:t>
          </m:r>
          <m:r>
            <m:rPr>
              <m:sty m:val="p"/>
            </m:rPr>
            <m:t>)</m:t>
          </m:r>
          <m:r>
            <m:t> </m:t>
          </m:r>
          <m:r>
            <m:rPr>
              <m:sty m:val="p"/>
            </m:rPr>
            <m:t>=</m:t>
          </m:r>
          <m:r>
            <m:t> </m:t>
          </m:r>
          <m:r>
            <m:rPr>
              <m:sty m:val="p"/>
            </m:rPr>
            <m:t>−</m:t>
          </m:r>
          <m:sSub>
            <m:e>
              <m:r>
                <m:rPr>
                  <m:scr m:val="double-struck"/>
                  <m:sty m:val="p"/>
                </m:rPr>
                <m:t>E</m:t>
              </m:r>
            </m:e>
            <m:sub>
              <m:r>
                <m:t>q</m:t>
              </m:r>
              <m:r>
                <m:rPr>
                  <m:sty m:val="p"/>
                </m:rPr>
                <m:t>(</m:t>
              </m:r>
              <m:r>
                <m:t>z</m:t>
              </m:r>
              <m:r>
                <m:rPr>
                  <m:sty m:val="p"/>
                </m:rPr>
                <m:t>|</m:t>
              </m:r>
              <m:r>
                <m:t>x</m:t>
              </m:r>
              <m:r>
                <m:rPr>
                  <m:sty m:val="p"/>
                </m:rPr>
                <m:t>)</m:t>
              </m:r>
            </m:sub>
          </m:sSub>
          <m:r>
            <m:rPr>
              <m:sty m:val="p"/>
            </m:rPr>
            <m:t>[</m:t>
          </m:r>
          <m:r>
            <m:rPr>
              <m:sty m:val="p"/>
            </m:rPr>
            <m:t>log</m:t>
          </m:r>
          <m:r>
            <m:t>p</m:t>
          </m:r>
          <m:r>
            <m:rPr>
              <m:sty m:val="p"/>
            </m:rPr>
            <m:t>(</m:t>
          </m:r>
          <m:r>
            <m:t>x</m:t>
          </m:r>
          <m:r>
            <m:rPr>
              <m:sty m:val="p"/>
            </m:rPr>
            <m:t>|</m:t>
          </m:r>
          <m:r>
            <m:t>z</m:t>
          </m:r>
          <m:r>
            <m:rPr>
              <m:sty m:val="p"/>
            </m:rPr>
            <m:t>)</m:t>
          </m:r>
          <m:r>
            <m:rPr>
              <m:sty m:val="p"/>
            </m:rPr>
            <m:t>]</m:t>
          </m:r>
          <m:r>
            <m:t> </m:t>
          </m:r>
          <m:r>
            <m:rPr>
              <m:sty m:val="p"/>
            </m:rPr>
            <m:t>+</m:t>
          </m:r>
          <m:r>
            <m:t> </m:t>
          </m:r>
          <m:r>
            <m:t>β</m:t>
          </m:r>
          <m:r>
            <m:rPr>
              <m:sty m:val="p"/>
            </m:rPr>
            <m:t>⋅</m:t>
          </m:r>
          <m:r>
            <m:rPr>
              <m:sty m:val="p"/>
            </m:rPr>
            <m:t>K</m:t>
          </m:r>
          <m:r>
            <m:rPr>
              <m:sty m:val="p"/>
            </m:rPr>
            <m:t>L</m:t>
          </m:r>
          <m:r>
            <m:rPr>
              <m:sty m:val="p"/>
            </m:rPr>
            <m:t>(</m:t>
          </m:r>
          <m:r>
            <m:t>q</m:t>
          </m:r>
          <m:r>
            <m:rPr>
              <m:sty m:val="p"/>
            </m:rPr>
            <m:t>(</m:t>
          </m:r>
          <m:r>
            <m:t>z</m:t>
          </m:r>
          <m:r>
            <m:rPr>
              <m:sty m:val="p"/>
            </m:rPr>
            <m:t>|</m:t>
          </m:r>
          <m:r>
            <m:t>x</m:t>
          </m:r>
          <m:r>
            <m:rPr>
              <m:sty m:val="p"/>
            </m:rPr>
            <m:t>)</m:t>
          </m:r>
          <m:r>
            <m:t> </m:t>
          </m:r>
          <m:r>
            <m:rPr>
              <m:sty m:val="p"/>
            </m:rPr>
            <m:t>∥</m:t>
          </m:r>
          <m:r>
            <m:t> </m:t>
          </m:r>
          <m:r>
            <m:rPr>
              <m:scr m:val="script"/>
              <m:sty m:val="p"/>
            </m:rPr>
            <m:t>N</m:t>
          </m:r>
          <m:r>
            <m:rPr>
              <m:sty m:val="p"/>
            </m:rPr>
            <m:t>(</m:t>
          </m:r>
          <m:r>
            <m:t>0</m:t>
          </m:r>
          <m:r>
            <m:rPr>
              <m:sty m:val="p"/>
            </m:rPr>
            <m:t>,</m:t>
          </m:r>
          <m:r>
            <m:t>I</m:t>
          </m:r>
          <m:r>
            <m:rPr>
              <m:sty m:val="p"/>
            </m:rPr>
            <m:t>)</m:t>
          </m:r>
          <m:r>
            <m:rPr>
              <m:sty m:val="p"/>
            </m:rPr>
            <m:t>)</m:t>
          </m:r>
          <m:r>
            <m:rPr>
              <m:sty m:val="p"/>
            </m:rPr>
            <m:t>,</m:t>
          </m:r>
        </m:oMath>
      </m:oMathPara>
    </w:p>
    <w:p>
      <w:pPr>
        <w:pStyle w:val="FirstParagraph"/>
        <w:jc w:val="both"/>
        <w:keepNext w:val="0"/>
        <w:keepLines w:val="0"/>
        <w:widowControl w:val="1"/>
      </w:pPr>
      <w:r>
        <w:t xml:space="preserve">with</w:t>
      </w:r>
      <w:r>
        <w:t xml:space="preserve"> </w:t>
      </w:r>
      <m:oMath>
        <m:r>
          <m:t>β</m:t>
        </m:r>
        <m:r>
          <m:rPr>
            <m:sty m:val="p"/>
          </m:rPr>
          <m:t>=</m:t>
        </m:r>
        <m:r>
          <m:t>0.01</m:t>
        </m:r>
      </m:oMath>
      <w:r>
        <w:t xml:space="preserve"> </w:t>
      </w:r>
      <w:r>
        <w:t xml:space="preserve">and free-bits clipping disabled. After fine-tuning, validation token-accuracy is 64.5 %. The LIMO decoder is non-autoregressive (parallel decode); SELFIES syntax guarantees token-level validity, so molecule-level (full-sequence) validity is 100% by construction. Reconstruction accuracy (fraction of latent round-trips that reproduce the input SMILES exactly) is 31.4% on the energetic validation set, consistent with the expected LIMO performance in this domain. The latent posterior is concentrated:</w:t>
      </w:r>
      <w:r>
        <w:t xml:space="preserve"> </w:t>
      </w:r>
      <m:oMath>
        <m:r>
          <m:rPr>
            <m:sty m:val="p"/>
          </m:rPr>
          <m:t>∥</m:t>
        </m:r>
        <m:r>
          <m:t>μ</m:t>
        </m:r>
        <m:r>
          <m:rPr>
            <m:sty m:val="p"/>
          </m:rPr>
          <m:t>∥</m:t>
        </m:r>
        <m:r>
          <m:rPr>
            <m:sty m:val="p"/>
          </m:rPr>
          <m:t>≈</m:t>
        </m:r>
        <m:r>
          <m:t>8</m:t>
        </m:r>
      </m:oMath>
      <w:r>
        <w:t xml:space="preserve"> </w:t>
      </w:r>
      <w:r>
        <w:t xml:space="preserve">on average, well below the</w:t>
      </w:r>
      <w:r>
        <w:t xml:space="preserve"> </w:t>
      </w:r>
      <m:oMath>
        <m:rad>
          <m:radPr>
            <m:degHide m:val="on"/>
          </m:radPr>
          <m:deg/>
          <m:e>
            <m:r>
              <m:t>1024</m:t>
            </m:r>
          </m:e>
        </m:rad>
        <m:r>
          <m:rPr>
            <m:sty m:val="p"/>
          </m:rPr>
          <m:t>≈</m:t>
        </m:r>
        <m:r>
          <m:t>32</m:t>
        </m:r>
      </m:oMath>
      <w:r>
        <w:t xml:space="preserve"> </w:t>
      </w:r>
      <w:r>
        <w:t xml:space="preserve">expected of</w:t>
      </w:r>
      <w:r>
        <w:t xml:space="preserve"> </w:t>
      </w:r>
      <m:oMath>
        <m:r>
          <m:rPr>
            <m:scr m:val="script"/>
            <m:sty m:val="p"/>
          </m:rPr>
          <m:t>N</m:t>
        </m:r>
        <m:r>
          <m:rPr>
            <m:sty m:val="p"/>
          </m:rPr>
          <m:t>(</m:t>
        </m:r>
        <m:r>
          <m:t>0</m:t>
        </m:r>
        <m:r>
          <m:rPr>
            <m:sty m:val="p"/>
          </m:rPr>
          <m:t>,</m:t>
        </m:r>
        <m:r>
          <m:t>I</m:t>
        </m:r>
        <m:r>
          <m:rPr>
            <m:sty m:val="p"/>
          </m:rPr>
          <m:t>)</m:t>
        </m:r>
      </m:oMath>
      <w:r>
        <w:t xml:space="preserve">.</w:t>
      </w:r>
    </w:p>
    <w:bookmarkStart w:id="49" w:name="fig-7"/>
    <w:p>
      <w:pPr>
        <w:pStyle w:val="BodyText"/>
        <w:jc w:val="center"/>
        <w:keepNext/>
        <w:keepLines/>
        <w:widowControl w:val="1"/>
      </w:pPr>
      <w:r>
        <w:drawing>
          <wp:inline>
            <wp:extent cx="5943600" cy="1192434"/>
            <wp:effectExtent b="0" l="0" r="0" t="0"/>
            <wp:docPr descr="DGLD LIMO VAE fine-tuning loop" title="" id="47" name="Picture"/>
            <a:graphic>
              <a:graphicData uri="http://schemas.openxmlformats.org/drawingml/2006/picture">
                <pic:pic>
                  <pic:nvPicPr>
                    <pic:cNvPr descr="figs/fig4a_data_prep.png" id="48" name="Picture"/>
                    <pic:cNvPicPr>
                      <a:picLocks noChangeArrowheads="1" noChangeAspect="1"/>
                    </pic:cNvPicPr>
                  </pic:nvPicPr>
                  <pic:blipFill>
                    <a:blip r:embed="rId46"/>
                    <a:stretch>
                      <a:fillRect/>
                    </a:stretch>
                  </pic:blipFill>
                  <pic:spPr bwMode="auto">
                    <a:xfrm>
                      <a:off x="0" y="0"/>
                      <a:ext cx="5943600" cy="119243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7.</w:t>
      </w:r>
      <w:r>
        <w:t xml:space="preserve"> </w:t>
      </w:r>
      <w:r>
        <w:t xml:space="preserve">Property-agnostic SELFIES VAE fine-tuned on the 326k energetic corpus (</w:t>
      </w:r>
      <m:oMath>
        <m:r>
          <m:rPr>
            <m:sty m:val="p"/>
          </m:rPr>
          <m:t>∼</m:t>
        </m:r>
      </m:oMath>
      <w:r>
        <w:t xml:space="preserve">8.5k steps, ELBO with</w:t>
      </w:r>
      <w:r>
        <w:t xml:space="preserve"> </w:t>
      </w:r>
      <m:oMath>
        <m:r>
          <m:t>β</m:t>
        </m:r>
        <m:r>
          <m:rPr>
            <m:sty m:val="p"/>
          </m:rPr>
          <m:t>=</m:t>
        </m:r>
        <m:r>
          <m:t>0.01</m:t>
        </m:r>
      </m:oMath>
      <w:r>
        <w:t xml:space="preserve">). The cached latent mean</w:t>
      </w:r>
      <w:r>
        <w:t xml:space="preserve"> </w:t>
      </w:r>
      <m:oMath>
        <m:r>
          <m:t>μ</m:t>
        </m:r>
      </m:oMath>
      <w:r>
        <w:t xml:space="preserve"> </w:t>
      </w:r>
      <w:r>
        <w:t xml:space="preserve">is the</w:t>
      </w:r>
      <w:r>
        <w:t xml:space="preserve"> </w:t>
      </w:r>
      <m:oMath>
        <m:sSub>
          <m:e>
            <m:r>
              <m:t>z</m:t>
            </m:r>
          </m:e>
          <m:sub>
            <m:r>
              <m:t>0</m:t>
            </m:r>
          </m:sub>
        </m:sSub>
      </m:oMath>
      <w:r>
        <w:t xml:space="preserve"> </w:t>
      </w:r>
      <w:r>
        <w:t xml:space="preserve">consumed by Figure 9 (Denoiser training) and Figures 10, 12 (Labeling, Self-distillation). Hyperparameters in Table B.1a.</w:t>
      </w:r>
    </w:p>
    <w:bookmarkEnd w:id="49"/>
    <w:p>
      <w:pPr>
        <w:pStyle w:val="BodyText"/>
        <w:jc w:val="both"/>
        <w:keepNext w:val="0"/>
        <w:keepLines w:val="0"/>
        <w:widowControl w:val="1"/>
      </w:pPr>
      <w:r>
        <w:t xml:space="preserve">After fine-tuning the encoder is frozen and every row of the data corpus (§3) is passed through it once to produce a deterministic latent mean</w:t>
      </w:r>
      <w:r>
        <w:t xml:space="preserve"> </w:t>
      </w:r>
      <m:oMath>
        <m:r>
          <m:t>μ</m:t>
        </m:r>
        <m:r>
          <m:rPr>
            <m:sty m:val="p"/>
          </m:rPr>
          <m:t>∈</m:t>
        </m:r>
        <m:sSup>
          <m:e>
            <m:r>
              <m:rPr>
                <m:scr m:val="double-struck"/>
                <m:sty m:val="p"/>
              </m:rPr>
              <m:t>R</m:t>
            </m:r>
          </m:e>
          <m:sup>
            <m:r>
              <m:t>1024</m:t>
            </m:r>
          </m:sup>
        </m:sSup>
      </m:oMath>
      <w:r>
        <w:t xml:space="preserve">. The cached tensor stores, per row, the latent</w:t>
      </w:r>
      <w:r>
        <w:t xml:space="preserve"> </w:t>
      </w:r>
      <m:oMath>
        <m:r>
          <m:t>μ</m:t>
        </m:r>
      </m:oMath>
      <w:r>
        <w:t xml:space="preserve">, a property matrix (the four conditioning targets</w:t>
      </w:r>
      <w:r>
        <w:t xml:space="preserve"> </w:t>
      </w:r>
      <m:oMath>
        <m:r>
          <m:t>ρ</m:t>
        </m:r>
      </m:oMath>
      <w:r>
        <w:t xml:space="preserve">, HOF,</w:t>
      </w:r>
      <w:r>
        <w:t xml:space="preserve"> </w:t>
      </w:r>
      <m:oMath>
        <m:r>
          <m:t>D</m:t>
        </m:r>
      </m:oMath>
      <w:r>
        <w:t xml:space="preserve">,</w:t>
      </w:r>
      <w:r>
        <w:t xml:space="preserve"> </w:t>
      </w:r>
      <m:oMath>
        <m:r>
          <m:t>P</m:t>
        </m:r>
      </m:oMath>
      <w:r>
        <w:t xml:space="preserve">), a tier matrix, a per-row trust mask, and per-property normalisation statistics. The encoder posterior variance is discarded by design;</w:t>
      </w:r>
      <w:r>
        <w:t xml:space="preserve"> </w:t>
      </w:r>
      <m:oMath>
        <m:r>
          <m:t>μ</m:t>
        </m:r>
      </m:oMath>
      <w:r>
        <w:t xml:space="preserve"> </w:t>
      </w:r>
      <w:r>
        <w:t xml:space="preserve">is treated as a deterministic anchor in latent space, and no SMILES is ever re-encoded at sample time. The denoiser of §4.3 and the score model of §4.7 read from this cached tensor only.</w:t>
      </w:r>
    </w:p>
    <w:bookmarkEnd w:id="50"/>
    <w:bookmarkStart w:id="55" w:name="conditioning-mask-construction"/>
    <w:p>
      <w:pPr>
        <w:pStyle w:val="Heading3"/>
        <w:keepNext/>
        <w:keepLines/>
        <w:widowControl w:val="1"/>
      </w:pPr>
      <w:r>
        <w:t xml:space="preserve">4.3 Conditioning mask construction</w:t>
      </w:r>
    </w:p>
    <w:p>
      <w:pPr>
        <w:pStyle w:val="FirstParagraph"/>
        <w:jc w:val="both"/>
        <w:keepNext w:val="0"/>
        <w:keepLines w:val="0"/>
        <w:widowControl w:val="1"/>
      </w:pPr>
      <w:r>
        <w:t xml:space="preserve">Each gradient step samples a fresh per-row mask m∈{0,1}</w:t>
      </w:r>
      <w:r>
        <w:rPr>
          <w:vertAlign w:val="superscript"/>
        </w:rPr>
        <w:t xml:space="preserve">4</w:t>
      </w:r>
      <w:r>
        <w:t xml:space="preserve"> </w:t>
      </w:r>
      <w:r>
        <w:t xml:space="preserve">that decides which of the four conditional properties are exposed to the denoiser at that step. The mask is the mechanism by which tier-eligibility (which labels a row carries) interacts with classifier-free dropout (the unconditional branch trained alongside the conditional).</w:t>
      </w:r>
    </w:p>
    <w:p>
      <w:pPr>
        <w:pStyle w:val="BodyText"/>
        <w:jc w:val="both"/>
        <w:keepNext w:val="0"/>
        <w:keepLines w:val="0"/>
        <w:widowControl w:val="1"/>
      </w:pPr>
      <w:r>
        <w:t xml:space="preserve">The per-step training mask</w:t>
      </w:r>
      <w:r>
        <w:t xml:space="preserve"> </w:t>
      </w:r>
      <m:oMath>
        <m:r>
          <m:t>m</m:t>
        </m:r>
        <m:r>
          <m:rPr>
            <m:sty m:val="p"/>
          </m:rPr>
          <m:t>∈</m:t>
        </m:r>
        <m:r>
          <m:rPr>
            <m:sty m:val="p"/>
          </m:rPr>
          <m:t>{</m:t>
        </m:r>
        <m:r>
          <m:t>0</m:t>
        </m:r>
        <m:r>
          <m:rPr>
            <m:sty m:val="p"/>
          </m:rPr>
          <m:t>,</m:t>
        </m:r>
        <m:r>
          <m:t>1</m:t>
        </m:r>
        <m:sSup>
          <m:e>
            <m:r>
              <m:rPr>
                <m:sty m:val="p"/>
              </m:rPr>
              <m:t>}</m:t>
            </m:r>
          </m:e>
          <m:sup>
            <m:r>
              <m:t>4</m:t>
            </m:r>
          </m:sup>
        </m:sSup>
      </m:oMath>
      <w:r>
        <w:t xml:space="preserve"> </w:t>
      </w:r>
      <w:r>
        <w:t xml:space="preserve">controls which conditioning properties enter FiLM at each step; the construction is a 5-stage stochastic pipeline over the per-row eligibility</w:t>
      </w:r>
      <w:r>
        <w:t xml:space="preserve"> </w:t>
      </w:r>
      <m:oMath>
        <m:r>
          <m:t>e</m:t>
        </m:r>
      </m:oMath>
      <w:r>
        <w:t xml:space="preserve"> </w:t>
      </w:r>
      <w:r>
        <w:t xml:space="preserve">and tier weight</w:t>
      </w:r>
      <w:r>
        <w:t xml:space="preserve"> </w:t>
      </w:r>
      <m:oMath>
        <m:sSub>
          <m:e>
            <m:r>
              <m:t>w</m:t>
            </m:r>
          </m:e>
          <m:sub>
            <m:r>
              <m:rPr>
                <m:nor/>
                <m:sty m:val="p"/>
              </m:rPr>
              <m:t>tier</m:t>
            </m:r>
          </m:sub>
        </m:sSub>
      </m:oMath>
      <w:r>
        <w:t xml:space="preserve"> </w:t>
      </w:r>
      <w:r>
        <w:t xml:space="preserve">of §3.1 (distinct from the CFG scale</w:t>
      </w:r>
      <w:r>
        <w:t xml:space="preserve"> </w:t>
      </w:r>
      <m:oMath>
        <m:r>
          <m:t>w</m:t>
        </m:r>
      </m:oMath>
      <w:r>
        <w:t xml:space="preserve"> </w:t>
      </w:r>
      <w:r>
        <w:t xml:space="preserve">of §4.2).</w:t>
      </w:r>
    </w:p>
    <w:p>
      <w:pPr>
        <w:pStyle w:val="BodyText"/>
        <w:jc w:val="both"/>
        <w:keepNext w:val="0"/>
        <w:keepLines w:val="0"/>
        <w:widowControl w:val="1"/>
      </w:pPr>
      <w:r>
        <w:t xml:space="preserve">Figure 8 walks the per-step mask construction. From cached eligibility</w:t>
      </w:r>
      <w:r>
        <w:t xml:space="preserve"> </w:t>
      </w:r>
      <m:oMath>
        <m:r>
          <m:t>e</m:t>
        </m:r>
        <m:r>
          <m:rPr>
            <m:sty m:val="p"/>
          </m:rPr>
          <m:t>∈</m:t>
        </m:r>
        <m:r>
          <m:rPr>
            <m:sty m:val="p"/>
          </m:rPr>
          <m:t>{</m:t>
        </m:r>
        <m:r>
          <m:t>0</m:t>
        </m:r>
        <m:r>
          <m:rPr>
            <m:sty m:val="p"/>
          </m:rPr>
          <m:t>,</m:t>
        </m:r>
        <m:r>
          <m:t>1</m:t>
        </m:r>
        <m:sSup>
          <m:e>
            <m:r>
              <m:rPr>
                <m:sty m:val="p"/>
              </m:rPr>
              <m:t>}</m:t>
            </m:r>
          </m:e>
          <m:sup>
            <m:r>
              <m:t>4</m:t>
            </m:r>
          </m:sup>
        </m:sSup>
      </m:oMath>
      <w:r>
        <w:t xml:space="preserve"> </w:t>
      </w:r>
      <w:r>
        <w:t xml:space="preserve">(renamed from</w:t>
      </w:r>
      <w:r>
        <w:t xml:space="preserve"> </w:t>
      </w:r>
      <m:oMath>
        <m:r>
          <m:t>c</m:t>
        </m:r>
      </m:oMath>
      <w:r>
        <w:t xml:space="preserve"> </w:t>
      </w:r>
      <w:r>
        <w:t xml:space="preserve">to avoid collision with the conditioning vector) and the tier weight</w:t>
      </w:r>
      <w:r>
        <w:t xml:space="preserve"> </w:t>
      </w:r>
      <m:oMath>
        <m:sSub>
          <m:e>
            <m:r>
              <m:t>w</m:t>
            </m:r>
          </m:e>
          <m:sub>
            <m:r>
              <m:rPr>
                <m:nor/>
                <m:sty m:val="p"/>
              </m:rPr>
              <m:t>tier</m:t>
            </m:r>
          </m:sub>
        </m:sSub>
      </m:oMath>
      <w:r>
        <w:t xml:space="preserve"> </w:t>
      </w:r>
      <w:r>
        <w:t xml:space="preserve">of §3.1, five stochastic stages produce</w:t>
      </w:r>
      <w:r>
        <w:t xml:space="preserve"> </w:t>
      </w:r>
      <m:oMath>
        <m:r>
          <m:t>m</m:t>
        </m:r>
      </m:oMath>
      <w:r>
        <w:t xml:space="preserve">: the</w:t>
      </w:r>
      <w:r>
        <w:t xml:space="preserve"> </w:t>
      </w:r>
      <w:r>
        <w:rPr>
          <w:i/>
          <w:iCs/>
        </w:rPr>
        <w:t xml:space="preserve">subset-size</w:t>
      </w:r>
      <w:r>
        <w:t xml:space="preserve"> </w:t>
      </w:r>
      <w:r>
        <w:t xml:space="preserve">box samples</w:t>
      </w:r>
      <w:r>
        <w:t xml:space="preserve"> </w:t>
      </w:r>
      <m:oMath>
        <m:r>
          <m:t>k</m:t>
        </m:r>
      </m:oMath>
      <w:r>
        <w:t xml:space="preserve"> </w:t>
      </w:r>
      <w:r>
        <w:t xml:space="preserve">from a Categorical with probabilities</w:t>
      </w:r>
      <w:r>
        <w:t xml:space="preserve"> </w:t>
      </w:r>
      <m:oMath>
        <m:r>
          <m:rPr>
            <m:sty m:val="p"/>
          </m:rPr>
          <m:t>{</m:t>
        </m:r>
        <m:r>
          <m:t>0</m:t>
        </m:r>
        <m:r>
          <m:rPr>
            <m:sty m:val="p"/>
          </m:rPr>
          <m:t>:</m:t>
        </m:r>
        <m:r>
          <m:t>.10</m:t>
        </m:r>
        <m:r>
          <m:rPr>
            <m:sty m:val="p"/>
          </m:rPr>
          <m:t>,</m:t>
        </m:r>
        <m:r>
          <m:t> </m:t>
        </m:r>
        <m:r>
          <m:t>1</m:t>
        </m:r>
        <m:r>
          <m:rPr>
            <m:sty m:val="p"/>
          </m:rPr>
          <m:t>:</m:t>
        </m:r>
        <m:r>
          <m:t>.25</m:t>
        </m:r>
        <m:r>
          <m:rPr>
            <m:sty m:val="p"/>
          </m:rPr>
          <m:t>,</m:t>
        </m:r>
        <m:r>
          <m:t> </m:t>
        </m:r>
        <m:r>
          <m:t>2</m:t>
        </m:r>
        <m:r>
          <m:rPr>
            <m:sty m:val="p"/>
          </m:rPr>
          <m:t>:</m:t>
        </m:r>
        <m:r>
          <m:t>.30</m:t>
        </m:r>
        <m:r>
          <m:rPr>
            <m:sty m:val="p"/>
          </m:rPr>
          <m:t>,</m:t>
        </m:r>
        <m:r>
          <m:t> </m:t>
        </m:r>
        <m:r>
          <m:t>3</m:t>
        </m:r>
        <m:r>
          <m:rPr>
            <m:sty m:val="p"/>
          </m:rPr>
          <m:t>:</m:t>
        </m:r>
        <m:r>
          <m:t>.25</m:t>
        </m:r>
        <m:r>
          <m:rPr>
            <m:sty m:val="p"/>
          </m:rPr>
          <m:t>,</m:t>
        </m:r>
        <m:r>
          <m:t> </m:t>
        </m:r>
        <m:r>
          <m:t>4</m:t>
        </m:r>
        <m:r>
          <m:rPr>
            <m:sty m:val="p"/>
          </m:rPr>
          <m:t>:</m:t>
        </m:r>
        <m:r>
          <m:t>.10</m:t>
        </m:r>
        <m:r>
          <m:rPr>
            <m:sty m:val="p"/>
          </m:rPr>
          <m:t>}</m:t>
        </m:r>
      </m:oMath>
      <w:r>
        <w:t xml:space="preserve">; the</w:t>
      </w:r>
      <w:r>
        <w:t xml:space="preserve"> </w:t>
      </w:r>
      <w:r>
        <w:rPr>
          <w:i/>
          <w:iCs/>
        </w:rPr>
        <w:t xml:space="preserve">weighted pick</w:t>
      </w:r>
      <w:r>
        <w:t xml:space="preserve"> </w:t>
      </w:r>
      <w:r>
        <w:t xml:space="preserve">box samples</w:t>
      </w:r>
      <w:r>
        <w:t xml:space="preserve"> </w:t>
      </w:r>
      <m:oMath>
        <m:r>
          <m:t>k</m:t>
        </m:r>
      </m:oMath>
      <w:r>
        <w:t xml:space="preserve"> </w:t>
      </w:r>
      <w:r>
        <w:t xml:space="preserve">properties from</w:t>
      </w:r>
      <w:r>
        <w:t xml:space="preserve"> </w:t>
      </w:r>
      <m:oMath>
        <m:r>
          <m:t>e</m:t>
        </m:r>
      </m:oMath>
      <w:r>
        <w:t xml:space="preserve"> </w:t>
      </w:r>
      <w:r>
        <w:t xml:space="preserve">using</w:t>
      </w:r>
      <w:r>
        <w:t xml:space="preserve"> </w:t>
      </w:r>
      <m:oMath>
        <m:sSub>
          <m:e>
            <m:r>
              <m:t>w</m:t>
            </m:r>
          </m:e>
          <m:sub>
            <m:r>
              <m:rPr>
                <m:nor/>
                <m:sty m:val="p"/>
              </m:rPr>
              <m:t>tier</m:t>
            </m:r>
          </m:sub>
        </m:sSub>
      </m:oMath>
      <w:r>
        <w:t xml:space="preserve">-weighted multinomial draws to form a tentative one-hot;</w:t>
      </w:r>
      <w:r>
        <w:t xml:space="preserve"> </w:t>
      </w:r>
      <w:r>
        <w:rPr>
          <w:i/>
          <w:iCs/>
        </w:rPr>
        <w:t xml:space="preserve">property dropout</w:t>
      </w:r>
      <w:r>
        <w:t xml:space="preserve"> </w:t>
      </w:r>
      <w:r>
        <w:t xml:space="preserve">at rate 0.30 then independently zeros each entry of the tentative mask;</w:t>
      </w:r>
      <w:r>
        <w:t xml:space="preserve"> </w:t>
      </w:r>
      <w:r>
        <w:rPr>
          <w:i/>
          <w:iCs/>
        </w:rPr>
        <w:t xml:space="preserve">CFG dropout</w:t>
      </w:r>
      <w:r>
        <w:t xml:space="preserve"> </w:t>
      </w:r>
      <w:r>
        <w:t xml:space="preserve">at rate 0.10 zeros the entire mask to feed the unconditional branch.</w:t>
      </w:r>
    </w:p>
    <w:bookmarkStart w:id="54" w:name="fig-8"/>
    <w:p>
      <w:pPr>
        <w:pStyle w:val="BodyText"/>
        <w:jc w:val="center"/>
        <w:keepNext/>
        <w:keepLines/>
        <w:widowControl w:val="1"/>
      </w:pPr>
      <w:r>
        <w:drawing>
          <wp:inline>
            <wp:extent cx="5943600" cy="3347054"/>
            <wp:effectExtent b="0" l="0" r="0" t="0"/>
            <wp:docPr descr="DGLD per-step training mask construction: subset-size sampling, weighted pick, tentative mask, property dropout, CFG dropout, output" title="" id="52" name="Picture"/>
            <a:graphic>
              <a:graphicData uri="http://schemas.openxmlformats.org/drawingml/2006/picture">
                <pic:pic>
                  <pic:nvPicPr>
                    <pic:cNvPr descr="figs/fig4b_mask_construction.png" id="53" name="Picture"/>
                    <pic:cNvPicPr>
                      <a:picLocks noChangeArrowheads="1" noChangeAspect="1"/>
                    </pic:cNvPicPr>
                  </pic:nvPicPr>
                  <pic:blipFill>
                    <a:blip r:embed="rId51"/>
                    <a:stretch>
                      <a:fillRect/>
                    </a:stretch>
                  </pic:blipFill>
                  <pic:spPr bwMode="auto">
                    <a:xfrm>
                      <a:off x="0" y="0"/>
                      <a:ext cx="5943600" cy="334705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8.</w:t>
      </w:r>
      <w:r>
        <w:t xml:space="preserve"> </w:t>
      </w:r>
      <w:r>
        <w:t xml:space="preserve">From cached eligibility</w:t>
      </w:r>
      <w:r>
        <w:t xml:space="preserve"> </w:t>
      </w:r>
      <m:oMath>
        <m:r>
          <m:t>e</m:t>
        </m:r>
        <m:r>
          <m:rPr>
            <m:sty m:val="p"/>
          </m:rPr>
          <m:t>∈</m:t>
        </m:r>
        <m:r>
          <m:rPr>
            <m:sty m:val="p"/>
          </m:rPr>
          <m:t>{</m:t>
        </m:r>
        <m:r>
          <m:t>0</m:t>
        </m:r>
        <m:r>
          <m:rPr>
            <m:sty m:val="p"/>
          </m:rPr>
          <m:t>,</m:t>
        </m:r>
        <m:r>
          <m:t>1</m:t>
        </m:r>
        <m:sSup>
          <m:e>
            <m:r>
              <m:rPr>
                <m:sty m:val="p"/>
              </m:rPr>
              <m:t>}</m:t>
            </m:r>
          </m:e>
          <m:sup>
            <m:r>
              <m:t>4</m:t>
            </m:r>
          </m:sup>
        </m:sSup>
      </m:oMath>
      <w:r>
        <w:t xml:space="preserve"> </w:t>
      </w:r>
      <w:r>
        <w:t xml:space="preserve">and tier weight</w:t>
      </w:r>
      <w:r>
        <w:t xml:space="preserve"> </w:t>
      </w:r>
      <m:oMath>
        <m:sSub>
          <m:e>
            <m:r>
              <m:t>w</m:t>
            </m:r>
          </m:e>
          <m:sub>
            <m:r>
              <m:rPr>
                <m:nor/>
                <m:sty m:val="p"/>
              </m:rPr>
              <m:t>tier</m:t>
            </m:r>
          </m:sub>
        </m:sSub>
      </m:oMath>
      <w:r>
        <w:t xml:space="preserve">, five stochastic stages produce the per-step mask</w:t>
      </w:r>
      <w:r>
        <w:t xml:space="preserve"> </w:t>
      </w:r>
      <m:oMath>
        <m:r>
          <m:t>m</m:t>
        </m:r>
      </m:oMath>
      <w:r>
        <w:t xml:space="preserve">: subset-size sampling, weighted pick, tentative one-hot, property dropout (0.30), CFG dropout (0.10). Output</w:t>
      </w:r>
      <w:r>
        <w:t xml:space="preserve"> </w:t>
      </w:r>
      <m:oMath>
        <m:r>
          <m:t>m</m:t>
        </m:r>
      </m:oMath>
      <w:r>
        <w:t xml:space="preserve"> </w:t>
      </w:r>
      <w:r>
        <w:t xml:space="preserve">feeds the FiLM input in Figure 9 (Denoiser training); details and probabilities in §4.3 and Table B.1b.</w:t>
      </w:r>
    </w:p>
    <w:bookmarkEnd w:id="54"/>
    <w:p>
      <w:pPr>
        <w:pStyle w:val="BodyText"/>
        <w:jc w:val="both"/>
        <w:keepNext w:val="0"/>
        <w:keepLines w:val="0"/>
        <w:widowControl w:val="1"/>
      </w:pPr>
      <w:r>
        <w:t xml:space="preserve">The output</w:t>
      </w:r>
      <w:r>
        <w:t xml:space="preserve"> </w:t>
      </w:r>
      <m:oMath>
        <m:r>
          <m:t>m</m:t>
        </m:r>
      </m:oMath>
      <w:r>
        <w:t xml:space="preserve"> </w:t>
      </w:r>
      <w:r>
        <w:t xml:space="preserve">and the row weight</w:t>
      </w:r>
      <w:r>
        <w:t xml:space="preserve"> </w:t>
      </w:r>
      <m:oMath>
        <m:sSub>
          <m:e>
            <m:r>
              <m:t>ω</m:t>
            </m:r>
          </m:e>
          <m:sub>
            <m:r>
              <m:rPr>
                <m:nor/>
                <m:sty m:val="p"/>
              </m:rPr>
              <m:t>row</m:t>
            </m:r>
          </m:sub>
        </m:sSub>
        <m:r>
          <m:rPr>
            <m:sty m:val="p"/>
          </m:rPr>
          <m:t>=</m:t>
        </m:r>
        <m:r>
          <m:t>α</m:t>
        </m:r>
        <m:r>
          <m:rPr>
            <m:sty m:val="p"/>
          </m:rPr>
          <m:t>+</m:t>
        </m:r>
        <m:r>
          <m:rPr>
            <m:sty m:val="p"/>
          </m:rPr>
          <m:t>(</m:t>
        </m:r>
        <m:r>
          <m:t>1</m:t>
        </m:r>
        <m:r>
          <m:rPr>
            <m:sty m:val="p"/>
          </m:rPr>
          <m:t>−</m:t>
        </m:r>
        <m:r>
          <m:t>α</m:t>
        </m:r>
        <m:r>
          <m:rPr>
            <m:sty m:val="p"/>
          </m:rPr>
          <m:t>)</m:t>
        </m:r>
        <m:r>
          <m:rPr>
            <m:sty m:val="p"/>
          </m:rPr>
          <m:t>⋅</m:t>
        </m:r>
        <m:r>
          <m:rPr>
            <m:sty m:val="p"/>
          </m:rPr>
          <m:t>m</m:t>
        </m:r>
        <m:r>
          <m:rPr>
            <m:sty m:val="p"/>
          </m:rPr>
          <m:t>e</m:t>
        </m:r>
        <m:r>
          <m:rPr>
            <m:sty m:val="p"/>
          </m:rPr>
          <m:t>a</m:t>
        </m:r>
        <m:r>
          <m:rPr>
            <m:sty m:val="p"/>
          </m:rPr>
          <m:t>n</m:t>
        </m:r>
        <m:r>
          <m:rPr>
            <m:sty m:val="p"/>
          </m:rPr>
          <m:t>(</m:t>
        </m:r>
        <m:sSub>
          <m:e>
            <m:r>
              <m:t>w</m:t>
            </m:r>
          </m:e>
          <m:sub>
            <m:r>
              <m:rPr>
                <m:nor/>
                <m:sty m:val="p"/>
              </m:rPr>
              <m:t>tier</m:t>
            </m:r>
          </m:sub>
        </m:sSub>
        <m:r>
          <m:rPr>
            <m:sty m:val="p"/>
          </m:rPr>
          <m:t>⊙</m:t>
        </m:r>
        <m:r>
          <m:t>m</m:t>
        </m:r>
        <m:r>
          <m:rPr>
            <m:sty m:val="p"/>
          </m:rPr>
          <m:t>)</m:t>
        </m:r>
      </m:oMath>
      <w:r>
        <w:t xml:space="preserve"> </w:t>
      </w:r>
      <w:r>
        <w:t xml:space="preserve">are emitted to the denoiser-training step of §4.4, where</w:t>
      </w:r>
      <w:r>
        <w:t xml:space="preserve"> </w:t>
      </w:r>
      <m:oMath>
        <m:sSub>
          <m:e>
            <m:r>
              <m:t>w</m:t>
            </m:r>
          </m:e>
          <m:sub>
            <m:r>
              <m:rPr>
                <m:nor/>
                <m:sty m:val="p"/>
              </m:rPr>
              <m:t>tier</m:t>
            </m:r>
          </m:sub>
        </m:sSub>
      </m:oMath>
      <w:r>
        <w:t xml:space="preserve"> </w:t>
      </w:r>
      <w:r>
        <w:t xml:space="preserve">is the per-property tier-weight vector and</w:t>
      </w:r>
      <w:r>
        <w:t xml:space="preserve"> </w:t>
      </w:r>
      <m:oMath>
        <m:r>
          <m:t>α</m:t>
        </m:r>
        <m:r>
          <m:rPr>
            <m:sty m:val="p"/>
          </m:rPr>
          <m:t>∈</m:t>
        </m:r>
        <m:r>
          <m:rPr>
            <m:sty m:val="p"/>
          </m:rPr>
          <m:t>[</m:t>
        </m:r>
        <m:r>
          <m:t>0</m:t>
        </m:r>
        <m:r>
          <m:rPr>
            <m:sty m:val="p"/>
          </m:rPr>
          <m:t>,</m:t>
        </m:r>
        <m:r>
          <m:t>1</m:t>
        </m:r>
        <m:r>
          <m:rPr>
            <m:sty m:val="p"/>
          </m:rPr>
          <m:t>]</m:t>
        </m:r>
      </m:oMath>
      <w:r>
        <w:t xml:space="preserve"> </w:t>
      </w:r>
      <w:r>
        <w:t xml:space="preserve">is the trust-vs-uniform interpolant (default</w:t>
      </w:r>
      <w:r>
        <w:t xml:space="preserve"> </w:t>
      </w:r>
      <m:oMath>
        <m:r>
          <m:t>α</m:t>
        </m:r>
        <m:r>
          <m:rPr>
            <m:sty m:val="p"/>
          </m:rPr>
          <m:t>=</m:t>
        </m:r>
        <m:r>
          <m:t>1.0</m:t>
        </m:r>
      </m:oMath>
      <w:r>
        <w:t xml:space="preserve">, reducing to plain MSE;</w:t>
      </w:r>
      <w:r>
        <w:t xml:space="preserve"> </w:t>
      </w:r>
      <m:oMath>
        <m:r>
          <m:t>α</m:t>
        </m:r>
        <m:r>
          <m:rPr>
            <m:sty m:val="p"/>
          </m:rPr>
          <m:t>&lt;</m:t>
        </m:r>
        <m:r>
          <m:t>1.0</m:t>
        </m:r>
      </m:oMath>
      <w:r>
        <w:t xml:space="preserve"> </w:t>
      </w:r>
      <w:r>
        <w:t xml:space="preserve">up-weights more-trusted rows). The mask</w:t>
      </w:r>
      <w:r>
        <w:t xml:space="preserve"> </w:t>
      </w:r>
      <m:oMath>
        <m:r>
          <m:t>m</m:t>
        </m:r>
      </m:oMath>
      <w:r>
        <w:t xml:space="preserve"> </w:t>
      </w:r>
      <w:r>
        <w:t xml:space="preserve">gates only the FiLM property input; it does not appear in the loss.</w:t>
      </w:r>
    </w:p>
    <w:bookmarkEnd w:id="55"/>
    <w:bookmarkStart w:id="60" w:name="denoiser-training"/>
    <w:p>
      <w:pPr>
        <w:pStyle w:val="Heading3"/>
        <w:keepNext/>
        <w:keepLines/>
        <w:widowControl w:val="1"/>
      </w:pPr>
      <w:r>
        <w:t xml:space="preserve">4.4 Denoiser training</w:t>
      </w:r>
    </w:p>
    <w:p>
      <w:pPr>
        <w:pStyle w:val="FirstParagraph"/>
        <w:jc w:val="both"/>
        <w:keepNext w:val="0"/>
        <w:keepLines w:val="0"/>
        <w:widowControl w:val="1"/>
      </w:pPr>
      <w:r>
        <w:t xml:space="preserve">The denoiser learns the noise-predicting reverse process of a 1000-step variance-preserving DDPM in latent space, conditioned via FiLM on the §4.3 mask + property vector. Classifier-free guidance dropout at training time enables the runtime trade-off between unconditional and target-property sampling controlled by the CFG scale w.</w:t>
      </w:r>
    </w:p>
    <w:p>
      <w:pPr>
        <w:pStyle w:val="BodyText"/>
        <w:jc w:val="both"/>
        <w:keepNext w:val="0"/>
        <w:keepLines w:val="0"/>
        <w:widowControl w:val="1"/>
      </w:pPr>
      <w:r>
        <w:t xml:space="preserve">The denoiser</w:t>
      </w:r>
      <w:r>
        <w:t xml:space="preserve"> </w:t>
      </w:r>
      <m:oMath>
        <m:sSub>
          <m:e>
            <m:r>
              <m:t>ϵ</m:t>
            </m:r>
          </m:e>
          <m:sub>
            <m:r>
              <m:t>θ</m:t>
            </m:r>
          </m:sub>
        </m:sSub>
        <m:r>
          <m:rPr>
            <m:sty m:val="p"/>
          </m:rPr>
          <m:t>(</m:t>
        </m:r>
        <m:sSub>
          <m:e>
            <m:r>
              <m:t>z</m:t>
            </m:r>
          </m:e>
          <m:sub>
            <m:r>
              <m:t>t</m:t>
            </m:r>
          </m:sub>
        </m:sSub>
        <m:r>
          <m:rPr>
            <m:sty m:val="p"/>
          </m:rPr>
          <m:t>,</m:t>
        </m:r>
        <m:r>
          <m:t>t</m:t>
        </m:r>
        <m:r>
          <m:rPr>
            <m:sty m:val="p"/>
          </m:rPr>
          <m:t>,</m:t>
        </m:r>
        <m:r>
          <m:t>c</m:t>
        </m:r>
        <m:r>
          <m:rPr>
            <m:sty m:val="p"/>
          </m:rPr>
          <m:t>,</m:t>
        </m:r>
        <m:r>
          <m:t>m</m:t>
        </m:r>
        <m:r>
          <m:rPr>
            <m:sty m:val="p"/>
          </m:rPr>
          <m:t>)</m:t>
        </m:r>
      </m:oMath>
      <w:r>
        <w:t xml:space="preserve"> </w:t>
      </w:r>
      <w:r>
        <w:t xml:space="preserve">is a 44.6 M-parameter FiLM-modulated ResNet over</w:t>
      </w:r>
      <w:r>
        <w:t xml:space="preserve"> </w:t>
      </w:r>
      <m:oMath>
        <m:sSub>
          <m:e>
            <m:r>
              <m:t>z</m:t>
            </m:r>
          </m:e>
          <m:sub>
            <m:r>
              <m:t>t</m:t>
            </m:r>
          </m:sub>
        </m:sSub>
        <m:r>
          <m:rPr>
            <m:sty m:val="p"/>
          </m:rPr>
          <m:t>∈</m:t>
        </m:r>
        <m:sSup>
          <m:e>
            <m:r>
              <m:rPr>
                <m:scr m:val="double-struck"/>
                <m:sty m:val="p"/>
              </m:rPr>
              <m:t>R</m:t>
            </m:r>
          </m:e>
          <m:sup>
            <m:r>
              <m:t>1024</m:t>
            </m:r>
          </m:sup>
        </m:sSup>
      </m:oMath>
      <w:r>
        <w:t xml:space="preserve"> </w:t>
      </w:r>
      <w:r>
        <w:t xml:space="preserve">with 8 residual blocks of inner width 2048 (per-block: LayerNorm, Linear(1024 to 2048), FiLM(</w:t>
      </w:r>
      <m:oMath>
        <m:r>
          <m:t>γ</m:t>
        </m:r>
        <m:r>
          <m:rPr>
            <m:sty m:val="p"/>
          </m:rPr>
          <m:t>,</m:t>
        </m:r>
        <m:r>
          <m:t>β</m:t>
        </m:r>
      </m:oMath>
      <w:r>
        <w:t xml:space="preserve"> </w:t>
      </w:r>
      <w:r>
        <w:t xml:space="preserve">from cond), SiLU, Linear(2048 to 1024) with a residual add), a sinusoidal time embedding (</w:t>
      </w:r>
      <m:oMath>
        <m:sSub>
          <m:e>
            <m:r>
              <m:t>d</m:t>
            </m:r>
          </m:e>
          <m:sub>
            <m:r>
              <m:t>t</m:t>
            </m:r>
          </m:sub>
        </m:sSub>
        <m:r>
          <m:rPr>
            <m:sty m:val="p"/>
          </m:rPr>
          <m:t>=</m:t>
        </m:r>
        <m:r>
          <m:t>256</m:t>
        </m:r>
      </m:oMath>
      <w:r>
        <w:t xml:space="preserve">), and a sinusoidal property-value embedding (</w:t>
      </w:r>
      <m:oMath>
        <m:sSub>
          <m:e>
            <m:r>
              <m:t>d</m:t>
            </m:r>
          </m:e>
          <m:sub>
            <m:r>
              <m:t>c</m:t>
            </m:r>
          </m:sub>
        </m:sSub>
        <m:r>
          <m:rPr>
            <m:sty m:val="p"/>
          </m:rPr>
          <m:t>=</m:t>
        </m:r>
        <m:r>
          <m:t>64</m:t>
        </m:r>
      </m:oMath>
      <w:r>
        <w:t xml:space="preserve">) gated by the per-step mask</w:t>
      </w:r>
      <w:r>
        <w:t xml:space="preserve"> </w:t>
      </w:r>
      <m:oMath>
        <m:r>
          <m:t>m</m:t>
        </m:r>
        <m:r>
          <m:rPr>
            <m:sty m:val="p"/>
          </m:rPr>
          <m:t>∈</m:t>
        </m:r>
        <m:r>
          <m:rPr>
            <m:sty m:val="p"/>
          </m:rPr>
          <m:t>{</m:t>
        </m:r>
        <m:r>
          <m:t>0</m:t>
        </m:r>
        <m:r>
          <m:rPr>
            <m:sty m:val="p"/>
          </m:rPr>
          <m:t>,</m:t>
        </m:r>
        <m:r>
          <m:t>1</m:t>
        </m:r>
        <m:sSup>
          <m:e>
            <m:r>
              <m:rPr>
                <m:sty m:val="p"/>
              </m:rPr>
              <m:t>}</m:t>
            </m:r>
          </m:e>
          <m:sup>
            <m:r>
              <m:t>4</m:t>
            </m:r>
          </m:sup>
        </m:sSup>
      </m:oMath>
      <w:r>
        <w:t xml:space="preserve"> </w:t>
      </w:r>
      <w:r>
        <w:t xml:space="preserve">of §4.3 (full hyperparameters in Table B.1b).</w:t>
      </w:r>
    </w:p>
    <w:p>
      <w:pPr>
        <w:pStyle w:val="BodyText"/>
        <w:jc w:val="both"/>
        <w:keepNext w:val="0"/>
        <w:keepLines w:val="0"/>
        <w:widowControl w:val="1"/>
      </w:pPr>
      <w:r>
        <w:t xml:space="preserve">Figure 9 walks denoiser training. Per step: sample</w:t>
      </w:r>
      <w:r>
        <w:t xml:space="preserve"> </w:t>
      </w:r>
      <m:oMath>
        <m:r>
          <m:t>t</m:t>
        </m:r>
        <m:r>
          <m:rPr>
            <m:sty m:val="p"/>
          </m:rPr>
          <m:t>∼</m:t>
        </m:r>
        <m:r>
          <m:rPr>
            <m:scr m:val="script"/>
            <m:sty m:val="p"/>
          </m:rPr>
          <m:t>U</m:t>
        </m:r>
        <m:r>
          <m:rPr>
            <m:sty m:val="p"/>
          </m:rPr>
          <m:t>{</m:t>
        </m:r>
        <m:r>
          <m:t>1</m:t>
        </m:r>
        <m:r>
          <m:rPr>
            <m:sty m:val="p"/>
          </m:rPr>
          <m:t>:</m:t>
        </m:r>
        <m:r>
          <m:t>T</m:t>
        </m:r>
        <m:r>
          <m:rPr>
            <m:sty m:val="p"/>
          </m:rPr>
          <m:t>}</m:t>
        </m:r>
      </m:oMath>
      <w:r>
        <w:t xml:space="preserve"> </w:t>
      </w:r>
      <w:r>
        <w:t xml:space="preserve">and</w:t>
      </w:r>
      <w:r>
        <w:t xml:space="preserve"> </w:t>
      </w:r>
      <m:oMath>
        <m:r>
          <m:t>ε</m:t>
        </m:r>
        <m:r>
          <m:rPr>
            <m:sty m:val="p"/>
          </m:rPr>
          <m:t>∼</m:t>
        </m:r>
        <m:r>
          <m:rPr>
            <m:scr m:val="script"/>
            <m:sty m:val="p"/>
          </m:rPr>
          <m:t>N</m:t>
        </m:r>
        <m:r>
          <m:rPr>
            <m:sty m:val="p"/>
          </m:rPr>
          <m:t>(</m:t>
        </m:r>
        <m:r>
          <m:t>0</m:t>
        </m:r>
        <m:r>
          <m:rPr>
            <m:sty m:val="p"/>
          </m:rPr>
          <m:t>,</m:t>
        </m:r>
        <m:r>
          <m:t>I</m:t>
        </m:r>
        <m:r>
          <m:rPr>
            <m:sty m:val="p"/>
          </m:rPr>
          <m:t>)</m:t>
        </m:r>
      </m:oMath>
      <w:r>
        <w:t xml:space="preserve">; form</w:t>
      </w:r>
      <w:r>
        <w:t xml:space="preserve"> </w:t>
      </w:r>
      <m:oMath>
        <m:sSub>
          <m:e>
            <m:r>
              <m:t>z</m:t>
            </m:r>
          </m:e>
          <m:sub>
            <m:r>
              <m:t>t</m:t>
            </m:r>
          </m:sub>
        </m:sSub>
        <m:r>
          <m:rPr>
            <m:sty m:val="p"/>
          </m:rPr>
          <m:t>=</m:t>
        </m:r>
        <m:rad>
          <m:radPr>
            <m:degHide m:val="on"/>
          </m:radPr>
          <m:deg/>
          <m:e>
            <m:sSub>
              <m:e>
                <m:acc>
                  <m:accPr>
                    <m:chr m:val="‾"/>
                  </m:accPr>
                  <m:e>
                    <m:r>
                      <m:t>α</m:t>
                    </m:r>
                  </m:e>
                </m:acc>
              </m:e>
              <m:sub>
                <m:r>
                  <m:t>t</m:t>
                </m:r>
              </m:sub>
            </m:sSub>
          </m:e>
        </m:rad>
        <m:r>
          <m:t> </m:t>
        </m:r>
        <m:sSub>
          <m:e>
            <m:r>
              <m:t>z</m:t>
            </m:r>
          </m:e>
          <m:sub>
            <m:r>
              <m:t>0</m:t>
            </m:r>
          </m:sub>
        </m:sSub>
        <m:r>
          <m:rPr>
            <m:sty m:val="p"/>
          </m:rPr>
          <m:t>+</m:t>
        </m:r>
        <m:rad>
          <m:radPr>
            <m:degHide m:val="on"/>
          </m:radPr>
          <m:deg/>
          <m:e>
            <m:r>
              <m:t>1</m:t>
            </m:r>
            <m:r>
              <m:rPr>
                <m:sty m:val="p"/>
              </m:rPr>
              <m:t>−</m:t>
            </m:r>
            <m:sSub>
              <m:e>
                <m:acc>
                  <m:accPr>
                    <m:chr m:val="‾"/>
                  </m:accPr>
                  <m:e>
                    <m:r>
                      <m:t>α</m:t>
                    </m:r>
                  </m:e>
                </m:acc>
              </m:e>
              <m:sub>
                <m:r>
                  <m:t>t</m:t>
                </m:r>
              </m:sub>
            </m:sSub>
          </m:e>
        </m:rad>
        <m:r>
          <m:t> </m:t>
        </m:r>
        <m:r>
          <m:t>ε</m:t>
        </m:r>
      </m:oMath>
      <w:r>
        <w:t xml:space="preserve"> </w:t>
      </w:r>
      <w:r>
        <w:t xml:space="preserve">on the cosine</w:t>
      </w:r>
      <w:r>
        <w:t xml:space="preserve"> </w:t>
      </w:r>
      <m:oMath>
        <m:r>
          <m:t>T</m:t>
        </m:r>
        <m:r>
          <m:rPr>
            <m:sty m:val="p"/>
          </m:rPr>
          <m:t>=</m:t>
        </m:r>
        <m:r>
          <m:t>1000</m:t>
        </m:r>
      </m:oMath>
      <w:r>
        <w:t xml:space="preserve"> </w:t>
      </w:r>
      <w:r>
        <w:t xml:space="preserve">DDPM schedule of Nichol &amp; Dhariwal</w:t>
      </w:r>
      <w:r>
        <w:t xml:space="preserve"> </w:t>
      </w:r>
      <w:hyperlink w:anchor="ref-dhariwal2021diffusion">
        <w:r>
          <w:rPr>
            <w:rStyle w:val="Hyperlink"/>
          </w:rPr>
          <w:t xml:space="preserve">[dhariwal2021]</w:t>
        </w:r>
      </w:hyperlink>
      <w:r>
        <w:t xml:space="preserve">; FiLM injects</w:t>
      </w:r>
      <w:r>
        <w:t xml:space="preserve"> </w:t>
      </w:r>
      <m:oMath>
        <m:r>
          <m:rPr>
            <m:sty m:val="p"/>
          </m:rPr>
          <m:t>(</m:t>
        </m:r>
        <m:r>
          <m:t>t</m:t>
        </m:r>
        <m:r>
          <m:rPr>
            <m:sty m:val="p"/>
          </m:rPr>
          <m:t>,</m:t>
        </m:r>
        <m:r>
          <m:t> </m:t>
        </m:r>
        <m:r>
          <m:t>p</m:t>
        </m:r>
        <m:r>
          <m:rPr>
            <m:sty m:val="p"/>
          </m:rPr>
          <m:t>⊙</m:t>
        </m:r>
        <m:r>
          <m:t>m</m:t>
        </m:r>
        <m:r>
          <m:rPr>
            <m:sty m:val="p"/>
          </m:rPr>
          <m:t>)</m:t>
        </m:r>
      </m:oMath>
      <w:r>
        <w:t xml:space="preserve">; the network predicts</w:t>
      </w:r>
      <w:r>
        <w:t xml:space="preserve"> </w:t>
      </w:r>
      <m:oMath>
        <m:acc>
          <m:accPr>
            <m:chr m:val="̂"/>
          </m:accPr>
          <m:e>
            <m:r>
              <m:t>ε</m:t>
            </m:r>
          </m:e>
        </m:acc>
      </m:oMath>
      <w:r>
        <w:t xml:space="preserve">; the loss is the per-sample MSE</w:t>
      </w:r>
      <w:r>
        <w:t xml:space="preserve"> </w:t>
      </w:r>
      <m:oMath>
        <m:r>
          <m:rPr>
            <m:sty m:val="p"/>
          </m:rPr>
          <m:t>‖</m:t>
        </m:r>
        <m:r>
          <m:t>ε</m:t>
        </m:r>
        <m:r>
          <m:rPr>
            <m:sty m:val="p"/>
          </m:rPr>
          <m:t>−</m:t>
        </m:r>
        <m:acc>
          <m:accPr>
            <m:chr m:val="̂"/>
          </m:accPr>
          <m:e>
            <m:r>
              <m:t>ε</m:t>
            </m:r>
          </m:e>
        </m:acc>
        <m:sSup>
          <m:e>
            <m:r>
              <m:rPr>
                <m:sty m:val="p"/>
              </m:rPr>
              <m:t>‖</m:t>
            </m:r>
          </m:e>
          <m:sup>
            <m:r>
              <m:t>2</m:t>
            </m:r>
          </m:sup>
        </m:sSup>
      </m:oMath>
      <w:r>
        <w:t xml:space="preserve"> </w:t>
      </w:r>
      <w:r>
        <w:t xml:space="preserve">weighted by the row weight</w:t>
      </w:r>
      <w:r>
        <w:t xml:space="preserve"> </w:t>
      </w:r>
      <m:oMath>
        <m:sSub>
          <m:e>
            <m:r>
              <m:t>ω</m:t>
            </m:r>
          </m:e>
          <m:sub>
            <m:r>
              <m:rPr>
                <m:nor/>
                <m:sty m:val="p"/>
              </m:rPr>
              <m:t>row</m:t>
            </m:r>
          </m:sub>
        </m:sSub>
      </m:oMath>
      <w:r>
        <w:t xml:space="preserve"> </w:t>
      </w:r>
      <w:r>
        <w:t xml:space="preserve">of §4.3. Optimiser AdamW, peak LR</w:t>
      </w:r>
      <w:r>
        <w:t xml:space="preserve"> </w:t>
      </w:r>
      <m:oMath>
        <m:sSup>
          <m:e>
            <m:r>
              <m:t>10</m:t>
            </m:r>
          </m:e>
          <m:sup>
            <m:r>
              <m:rPr>
                <m:sty m:val="p"/>
              </m:rPr>
              <m:t>−</m:t>
            </m:r>
            <m:r>
              <m:t>4</m:t>
            </m:r>
          </m:sup>
        </m:sSup>
      </m:oMath>
      <w:r>
        <w:t xml:space="preserve">, cosine decay, batch 128, 20 epochs, EMA decay 0.999.</w:t>
      </w:r>
    </w:p>
    <w:bookmarkStart w:id="59" w:name="fig-9"/>
    <w:p>
      <w:pPr>
        <w:pStyle w:val="BodyText"/>
        <w:jc w:val="center"/>
        <w:keepNext/>
        <w:keepLines/>
        <w:widowControl w:val="1"/>
      </w:pPr>
      <w:r>
        <w:drawing>
          <wp:inline>
            <wp:extent cx="5943600" cy="3345052"/>
            <wp:effectExtent b="0" l="0" r="0" t="0"/>
            <wp:docPr descr="DGLD denoiser training: per-step update loop with mask-gated conditioning" title="" id="57" name="Picture"/>
            <a:graphic>
              <a:graphicData uri="http://schemas.openxmlformats.org/drawingml/2006/picture">
                <pic:pic>
                  <pic:nvPicPr>
                    <pic:cNvPr descr="figs/fig4c_denoiser_train.png" id="58" name="Picture"/>
                    <pic:cNvPicPr>
                      <a:picLocks noChangeArrowheads="1" noChangeAspect="1"/>
                    </pic:cNvPicPr>
                  </pic:nvPicPr>
                  <pic:blipFill>
                    <a:blip r:embed="rId56"/>
                    <a:stretch>
                      <a:fillRect/>
                    </a:stretch>
                  </pic:blipFill>
                  <pic:spPr bwMode="auto">
                    <a:xfrm>
                      <a:off x="0" y="0"/>
                      <a:ext cx="5943600" cy="334505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9.</w:t>
      </w:r>
      <w:r>
        <w:t xml:space="preserve"> </w:t>
      </w:r>
      <w:r>
        <w:t xml:space="preserve">Sample</w:t>
      </w:r>
      <w:r>
        <w:t xml:space="preserve"> </w:t>
      </w:r>
      <m:oMath>
        <m:r>
          <m:t>t</m:t>
        </m:r>
        <m:r>
          <m:rPr>
            <m:sty m:val="p"/>
          </m:rPr>
          <m:t>,</m:t>
        </m:r>
        <m:r>
          <m:t>ε</m:t>
        </m:r>
      </m:oMath>
      <w:r>
        <w:t xml:space="preserve">; form</w:t>
      </w:r>
      <w:r>
        <w:t xml:space="preserve"> </w:t>
      </w:r>
      <m:oMath>
        <m:sSub>
          <m:e>
            <m:r>
              <m:t>z</m:t>
            </m:r>
          </m:e>
          <m:sub>
            <m:r>
              <m:t>t</m:t>
            </m:r>
          </m:sub>
        </m:sSub>
        <m:r>
          <m:rPr>
            <m:sty m:val="p"/>
          </m:rPr>
          <m:t>=</m:t>
        </m:r>
        <m:rad>
          <m:radPr>
            <m:degHide m:val="on"/>
          </m:radPr>
          <m:deg/>
          <m:e>
            <m:sSub>
              <m:e>
                <m:acc>
                  <m:accPr>
                    <m:chr m:val="‾"/>
                  </m:accPr>
                  <m:e>
                    <m:r>
                      <m:t>α</m:t>
                    </m:r>
                  </m:e>
                </m:acc>
              </m:e>
              <m:sub>
                <m:r>
                  <m:t>t</m:t>
                </m:r>
              </m:sub>
            </m:sSub>
          </m:e>
        </m:rad>
        <m:r>
          <m:t> </m:t>
        </m:r>
        <m:sSub>
          <m:e>
            <m:r>
              <m:t>z</m:t>
            </m:r>
          </m:e>
          <m:sub>
            <m:r>
              <m:t>0</m:t>
            </m:r>
          </m:sub>
        </m:sSub>
        <m:r>
          <m:rPr>
            <m:sty m:val="p"/>
          </m:rPr>
          <m:t>+</m:t>
        </m:r>
        <m:rad>
          <m:radPr>
            <m:degHide m:val="on"/>
          </m:radPr>
          <m:deg/>
          <m:e>
            <m:r>
              <m:t>1</m:t>
            </m:r>
            <m:r>
              <m:rPr>
                <m:sty m:val="p"/>
              </m:rPr>
              <m:t>−</m:t>
            </m:r>
            <m:sSub>
              <m:e>
                <m:acc>
                  <m:accPr>
                    <m:chr m:val="‾"/>
                  </m:accPr>
                  <m:e>
                    <m:r>
                      <m:t>α</m:t>
                    </m:r>
                  </m:e>
                </m:acc>
              </m:e>
              <m:sub>
                <m:r>
                  <m:t>t</m:t>
                </m:r>
              </m:sub>
            </m:sSub>
          </m:e>
        </m:rad>
        <m:r>
          <m:t> </m:t>
        </m:r>
        <m:r>
          <m:t>ε</m:t>
        </m:r>
      </m:oMath>
      <w:r>
        <w:t xml:space="preserve">; the FiLM-ResNet predicts</w:t>
      </w:r>
      <w:r>
        <w:t xml:space="preserve"> </w:t>
      </w:r>
      <m:oMath>
        <m:acc>
          <m:accPr>
            <m:chr m:val="̂"/>
          </m:accPr>
          <m:e>
            <m:r>
              <m:t>ε</m:t>
            </m:r>
          </m:e>
        </m:acc>
      </m:oMath>
      <w:r>
        <w:t xml:space="preserve"> </w:t>
      </w:r>
      <w:r>
        <w:t xml:space="preserve">from</w:t>
      </w:r>
      <w:r>
        <w:t xml:space="preserve"> </w:t>
      </w:r>
      <m:oMath>
        <m:r>
          <m:rPr>
            <m:sty m:val="p"/>
          </m:rPr>
          <m:t>(</m:t>
        </m:r>
        <m:sSub>
          <m:e>
            <m:r>
              <m:t>z</m:t>
            </m:r>
          </m:e>
          <m:sub>
            <m:r>
              <m:t>t</m:t>
            </m:r>
          </m:sub>
        </m:sSub>
        <m:r>
          <m:rPr>
            <m:sty m:val="p"/>
          </m:rPr>
          <m:t>,</m:t>
        </m:r>
        <m:r>
          <m:t>t</m:t>
        </m:r>
        <m:r>
          <m:rPr>
            <m:sty m:val="p"/>
          </m:rPr>
          <m:t>,</m:t>
        </m:r>
        <m:r>
          <m:t>p</m:t>
        </m:r>
        <m:r>
          <m:rPr>
            <m:sty m:val="p"/>
          </m:rPr>
          <m:t>⊙</m:t>
        </m:r>
        <m:r>
          <m:t>m</m:t>
        </m:r>
        <m:r>
          <m:rPr>
            <m:sty m:val="p"/>
          </m:rPr>
          <m:t>)</m:t>
        </m:r>
      </m:oMath>
      <w:r>
        <w:t xml:space="preserve"> </w:t>
      </w:r>
      <w:r>
        <w:t xml:space="preserve">where</w:t>
      </w:r>
      <w:r>
        <w:t xml:space="preserve"> </w:t>
      </w:r>
      <m:oMath>
        <m:r>
          <m:t>m</m:t>
        </m:r>
      </m:oMath>
      <w:r>
        <w:t xml:space="preserve"> </w:t>
      </w:r>
      <w:r>
        <w:t xml:space="preserve">(from Figure 8) gates the property vector. Loss is per-sample MSE</w:t>
      </w:r>
      <w:r>
        <w:t xml:space="preserve"> </w:t>
      </w:r>
      <m:oMath>
        <m:r>
          <m:rPr>
            <m:sty m:val="p"/>
          </m:rPr>
          <m:t>‖</m:t>
        </m:r>
        <m:r>
          <m:t>ε</m:t>
        </m:r>
        <m:r>
          <m:rPr>
            <m:sty m:val="p"/>
          </m:rPr>
          <m:t>−</m:t>
        </m:r>
        <m:acc>
          <m:accPr>
            <m:chr m:val="̂"/>
          </m:accPr>
          <m:e>
            <m:r>
              <m:t>ε</m:t>
            </m:r>
          </m:e>
        </m:acc>
        <m:sSup>
          <m:e>
            <m:r>
              <m:rPr>
                <m:sty m:val="p"/>
              </m:rPr>
              <m:t>‖</m:t>
            </m:r>
          </m:e>
          <m:sup>
            <m:r>
              <m:t>2</m:t>
            </m:r>
          </m:sup>
        </m:sSup>
      </m:oMath>
      <w:r>
        <w:t xml:space="preserve"> </w:t>
      </w:r>
      <w:r>
        <w:t xml:space="preserve">weighted by</w:t>
      </w:r>
      <w:r>
        <w:t xml:space="preserve"> </w:t>
      </w:r>
      <m:oMath>
        <m:r>
          <m:t>ω</m:t>
        </m:r>
      </m:oMath>
      <w:r>
        <w:t xml:space="preserve">; AdamW + EMA. Hyperparameters in Table B.1b.</w:t>
      </w:r>
    </w:p>
    <w:bookmarkEnd w:id="59"/>
    <w:p>
      <w:pPr>
        <w:pStyle w:val="BodyText"/>
        <w:jc w:val="both"/>
        <w:keepNext w:val="0"/>
        <w:keepLines w:val="0"/>
        <w:widowControl w:val="1"/>
      </w:pPr>
      <w:r>
        <w:t xml:space="preserve">At sample time we use the standard guided estimate</w:t>
      </w:r>
    </w:p>
    <w:p>
      <w:pPr>
        <w:pStyle w:val="BodyText"/>
      </w:pPr>
      <m:oMathPara>
        <m:oMathParaPr>
          <m:jc m:val="center"/>
        </m:oMathParaPr>
        <m:oMath>
          <m:sSub>
            <m:e>
              <m:acc>
                <m:accPr>
                  <m:chr m:val="̂"/>
                </m:accPr>
                <m:e>
                  <m:r>
                    <m:t>ϵ</m:t>
                  </m:r>
                </m:e>
              </m:acc>
            </m:e>
            <m:sub>
              <m:r>
                <m:t>θ</m:t>
              </m:r>
            </m:sub>
          </m:sSub>
          <m:r>
            <m:rPr>
              <m:sty m:val="p"/>
            </m:rPr>
            <m:t>(</m:t>
          </m:r>
          <m:sSub>
            <m:e>
              <m:r>
                <m:t>z</m:t>
              </m:r>
            </m:e>
            <m:sub>
              <m:r>
                <m:t>t</m:t>
              </m:r>
            </m:sub>
          </m:sSub>
          <m:r>
            <m:rPr>
              <m:sty m:val="p"/>
            </m:rPr>
            <m:t>,</m:t>
          </m:r>
          <m:r>
            <m:t>c</m:t>
          </m:r>
          <m:r>
            <m:rPr>
              <m:sty m:val="p"/>
            </m:rPr>
            <m:t>)</m:t>
          </m:r>
          <m:r>
            <m:t> </m:t>
          </m:r>
          <m:r>
            <m:rPr>
              <m:sty m:val="p"/>
            </m:rPr>
            <m:t>=</m:t>
          </m:r>
          <m:r>
            <m:t> </m:t>
          </m:r>
          <m:sSub>
            <m:e>
              <m:r>
                <m:t>ϵ</m:t>
              </m:r>
            </m:e>
            <m:sub>
              <m:r>
                <m:t>θ</m:t>
              </m:r>
            </m:sub>
          </m:sSub>
          <m:r>
            <m:rPr>
              <m:sty m:val="p"/>
            </m:rPr>
            <m:t>(</m:t>
          </m:r>
          <m:sSub>
            <m:e>
              <m:r>
                <m:t>z</m:t>
              </m:r>
            </m:e>
            <m:sub>
              <m:r>
                <m:t>t</m:t>
              </m:r>
            </m:sub>
          </m:sSub>
          <m:r>
            <m:rPr>
              <m:sty m:val="p"/>
            </m:rPr>
            <m:t>,</m:t>
          </m:r>
          <m:r>
            <m:t>t</m:t>
          </m:r>
          <m:r>
            <m:rPr>
              <m:sty m:val="p"/>
            </m:rPr>
            <m:t>,</m:t>
          </m:r>
          <m:r>
            <m:rPr>
              <m:sty m:val="p"/>
            </m:rPr>
            <m:t>∅</m:t>
          </m:r>
          <m:r>
            <m:rPr>
              <m:sty m:val="p"/>
            </m:rPr>
            <m:t>)</m:t>
          </m:r>
          <m:r>
            <m:t> </m:t>
          </m:r>
          <m:r>
            <m:rPr>
              <m:sty m:val="p"/>
            </m:rPr>
            <m:t>+</m:t>
          </m:r>
          <m:r>
            <m:t> </m:t>
          </m:r>
          <m:r>
            <m:t>w</m:t>
          </m:r>
          <m:r>
            <m:t> </m:t>
          </m:r>
          <m:d>
            <m:dPr>
              <m:begChr m:val="("/>
              <m:sepChr m:val=""/>
              <m:endChr m:val=")"/>
              <m:grow/>
            </m:dPr>
            <m:e>
              <m:sSub>
                <m:e>
                  <m:r>
                    <m:t>ϵ</m:t>
                  </m:r>
                </m:e>
                <m:sub>
                  <m:r>
                    <m:t>θ</m:t>
                  </m:r>
                </m:sub>
              </m:sSub>
              <m:r>
                <m:rPr>
                  <m:sty m:val="p"/>
                </m:rPr>
                <m:t>(</m:t>
              </m:r>
              <m:sSub>
                <m:e>
                  <m:r>
                    <m:t>z</m:t>
                  </m:r>
                </m:e>
                <m:sub>
                  <m:r>
                    <m:t>t</m:t>
                  </m:r>
                </m:sub>
              </m:sSub>
              <m:r>
                <m:rPr>
                  <m:sty m:val="p"/>
                </m:rPr>
                <m:t>,</m:t>
              </m:r>
              <m:r>
                <m:t>t</m:t>
              </m:r>
              <m:r>
                <m:rPr>
                  <m:sty m:val="p"/>
                </m:rPr>
                <m:t>,</m:t>
              </m:r>
              <m:r>
                <m:t>c</m:t>
              </m:r>
              <m:r>
                <m:rPr>
                  <m:sty m:val="p"/>
                </m:rPr>
                <m:t>)</m:t>
              </m:r>
              <m:r>
                <m:rPr>
                  <m:sty m:val="p"/>
                </m:rPr>
                <m:t>−</m:t>
              </m:r>
              <m:sSub>
                <m:e>
                  <m:r>
                    <m:t>ϵ</m:t>
                  </m:r>
                </m:e>
                <m:sub>
                  <m:r>
                    <m:t>θ</m:t>
                  </m:r>
                </m:sub>
              </m:sSub>
              <m:r>
                <m:rPr>
                  <m:sty m:val="p"/>
                </m:rPr>
                <m:t>(</m:t>
              </m:r>
              <m:sSub>
                <m:e>
                  <m:r>
                    <m:t>z</m:t>
                  </m:r>
                </m:e>
                <m:sub>
                  <m:r>
                    <m:t>t</m:t>
                  </m:r>
                </m:sub>
              </m:sSub>
              <m:r>
                <m:rPr>
                  <m:sty m:val="p"/>
                </m:rPr>
                <m:t>,</m:t>
              </m:r>
              <m:r>
                <m:t>t</m:t>
              </m:r>
              <m:r>
                <m:rPr>
                  <m:sty m:val="p"/>
                </m:rPr>
                <m:t>,</m:t>
              </m:r>
              <m:r>
                <m:rPr>
                  <m:sty m:val="p"/>
                </m:rPr>
                <m:t>∅</m:t>
              </m:r>
              <m:r>
                <m:rPr>
                  <m:sty m:val="p"/>
                </m:rPr>
                <m:t>)</m:t>
              </m:r>
            </m:e>
          </m:d>
          <m:r>
            <m:rPr>
              <m:sty m:val="p"/>
            </m:rPr>
            <m:t>;</m:t>
          </m:r>
        </m:oMath>
      </m:oMathPara>
    </w:p>
    <w:p>
      <w:pPr>
        <w:pStyle w:val="FirstParagraph"/>
        <w:jc w:val="both"/>
        <w:keepNext w:val="0"/>
        <w:keepLines w:val="0"/>
        <w:widowControl w:val="1"/>
      </w:pPr>
      <w:r>
        <w:t xml:space="preserve">the production scale</w:t>
      </w:r>
      <w:r>
        <w:t xml:space="preserve"> </w:t>
      </w:r>
      <m:oMath>
        <m:r>
          <m:t>w</m:t>
        </m:r>
        <m:r>
          <m:rPr>
            <m:sty m:val="p"/>
          </m:rPr>
          <m:t>=</m:t>
        </m:r>
        <m:r>
          <m:t>7</m:t>
        </m:r>
      </m:oMath>
      <w:r>
        <w:t xml:space="preserve"> </w:t>
      </w:r>
      <w:r>
        <w:t xml:space="preserve">is selected per §4.12 (Figure 16).</w:t>
      </w:r>
    </w:p>
    <w:bookmarkEnd w:id="60"/>
    <w:bookmarkStart w:id="61" w:name="two-complementary-denoisers"/>
    <w:p>
      <w:pPr>
        <w:pStyle w:val="Heading3"/>
        <w:keepNext/>
        <w:keepLines/>
        <w:widowControl w:val="1"/>
      </w:pPr>
      <w:r>
        <w:t xml:space="preserve">4.5 Two complementary denoisers</w:t>
      </w:r>
    </w:p>
    <w:p>
      <w:pPr>
        <w:pStyle w:val="FirstParagraph"/>
        <w:jc w:val="both"/>
        <w:keepNext w:val="0"/>
        <w:keepLines w:val="0"/>
        <w:widowControl w:val="1"/>
      </w:pPr>
      <w:r>
        <w:t xml:space="preserve">The headline pipeline targets</w:t>
      </w:r>
      <w:r>
        <w:t xml:space="preserve"> </w:t>
      </w:r>
      <m:oMath>
        <m:r>
          <m:t>ρ</m:t>
        </m:r>
      </m:oMath>
      <w:r>
        <w:t xml:space="preserve">,</w:t>
      </w:r>
      <w:r>
        <w:t xml:space="preserve"> </w:t>
      </w:r>
      <m:oMath>
        <m:r>
          <m:t>D</m:t>
        </m:r>
      </m:oMath>
      <w:r>
        <w:t xml:space="preserve">,</w:t>
      </w:r>
      <w:r>
        <w:t xml:space="preserve"> </w:t>
      </w:r>
      <m:oMath>
        <m:r>
          <m:t>P</m:t>
        </m:r>
      </m:oMath>
      <w:r>
        <w:t xml:space="preserve">, and HOF simultaneously. Their labelled-corpus marginals have sharply different population statistics: the high-HOF tail and the high-</w:t>
      </w:r>
      <m:oMath>
        <m:r>
          <m:t>ρ</m:t>
        </m:r>
        <m:r>
          <m:t>D</m:t>
        </m:r>
        <m:r>
          <m:t>P</m:t>
        </m:r>
      </m:oMath>
      <w:r>
        <w:t xml:space="preserve"> </w:t>
      </w:r>
      <w:r>
        <w:t xml:space="preserve">tail barely overlap in latent space. A single denoiser must compromise between these tails. Either tail can be trained to saturate, but not both at once with one loss-weighting schedule. We therefore train two complementary denoisers, each tilted toward one tail via training-time oversampling, so that each saturates its own tail.</w:t>
      </w:r>
    </w:p>
    <w:p>
      <w:pPr>
        <w:pStyle w:val="BodyText"/>
        <w:jc w:val="both"/>
        <w:keepNext w:val="0"/>
        <w:keepLines w:val="0"/>
        <w:widowControl w:val="1"/>
      </w:pPr>
      <w:r>
        <w:rPr>
          <w:b/>
          <w:bCs/>
        </w:rPr>
        <w:t xml:space="preserve">DGLD-H</w:t>
      </w:r>
      <w:r>
        <w:t xml:space="preserve"> </w:t>
      </w:r>
      <w:r>
        <w:t xml:space="preserve">tilts toward the HOF tail (asymmetric high-tail oversampling on Tier-A/B, factor 5×, focused on heat of formation).</w:t>
      </w:r>
      <w:r>
        <w:t xml:space="preserve"> </w:t>
      </w:r>
      <w:r>
        <w:rPr>
          <w:b/>
          <w:bCs/>
        </w:rPr>
        <w:t xml:space="preserve">DGLD-P</w:t>
      </w:r>
      <w:r>
        <w:t xml:space="preserve"> </w:t>
      </w:r>
      <w:r>
        <w:t xml:space="preserve">tilts toward the</w:t>
      </w:r>
      <w:r>
        <w:t xml:space="preserve"> </w:t>
      </w:r>
      <m:oMath>
        <m:r>
          <m:t>ρ</m:t>
        </m:r>
        <m:r>
          <m:t>D</m:t>
        </m:r>
        <m:r>
          <m:t>P</m:t>
        </m:r>
      </m:oMath>
      <w:r>
        <w:t xml:space="preserve"> </w:t>
      </w:r>
      <w:r>
        <w:t xml:space="preserve">tail (Tier-A/B-only conditioning, +5× high-tail oversampling on the top decile of the joint</w:t>
      </w:r>
      <w:r>
        <w:t xml:space="preserve"> </w:t>
      </w:r>
      <m:oMath>
        <m:r>
          <m:t>ρ</m:t>
        </m:r>
        <m:r>
          <m:rPr>
            <m:sty m:val="p"/>
          </m:rPr>
          <m:t>/</m:t>
        </m:r>
        <m:r>
          <m:t>D</m:t>
        </m:r>
        <m:r>
          <m:rPr>
            <m:sty m:val="p"/>
          </m:rPr>
          <m:t>/</m:t>
        </m:r>
        <m:r>
          <m:t>P</m:t>
        </m:r>
      </m:oMath>
      <w:r>
        <w:t xml:space="preserve"> </w:t>
      </w:r>
      <w:r>
        <w:t xml:space="preserve">distribution,</w:t>
      </w:r>
      <w:r>
        <w:t xml:space="preserve"> </w:t>
      </w:r>
      <w:r>
        <w:rPr>
          <w:rStyle w:val="VerbatimChar"/>
        </w:rPr>
        <w:t xml:space="preserve">weighted_mask=true</w:t>
      </w:r>
      <w:r>
        <w:t xml:space="preserve">, property-dropout 0.30). Both are 44.6 M-parameter FiLM-ResNets with the §4.4 architecture; only the training-data tilt differs. Hyperparameters of both checkpoints are listed in Table B.1b.</w:t>
      </w:r>
    </w:p>
    <w:p>
      <w:pPr>
        <w:pStyle w:val="BodyText"/>
        <w:jc w:val="both"/>
        <w:keepNext w:val="0"/>
        <w:keepLines w:val="0"/>
        <w:widowControl w:val="1"/>
      </w:pPr>
      <w:r>
        <w:t xml:space="preserve">Empirically DGLD-H supplies high-HOF leads and DGLD-P supplies high-</w:t>
      </w:r>
      <m:oMath>
        <m:r>
          <m:t>ρ</m:t>
        </m:r>
        <m:r>
          <m:rPr>
            <m:sty m:val="p"/>
          </m:rPr>
          <m:t>/</m:t>
        </m:r>
        <m:r>
          <m:t>P</m:t>
        </m:r>
      </m:oMath>
      <w:r>
        <w:t xml:space="preserve"> </w:t>
      </w:r>
      <w:r>
        <w:t xml:space="preserve">leads. Combination happens post-decode in §4.11 (Figure 15): we union the lanes' SMILES pools and run them once through the rerank funnel. We do not average outputs or interpolate weights, so this is not a classical ensemble in that sense.</w:t>
      </w:r>
    </w:p>
    <w:bookmarkEnd w:id="61"/>
    <w:bookmarkStart w:id="66" w:name="labeling-for-guidance-head-training"/>
    <w:p>
      <w:pPr>
        <w:pStyle w:val="Heading3"/>
        <w:keepNext/>
        <w:keepLines/>
        <w:widowControl w:val="1"/>
      </w:pPr>
      <w:r>
        <w:t xml:space="preserve">4.6 Labeling for guidance-head training</w:t>
      </w:r>
    </w:p>
    <w:p>
      <w:pPr>
        <w:pStyle w:val="FirstParagraph"/>
        <w:jc w:val="both"/>
        <w:keepNext w:val="0"/>
        <w:keepLines w:val="0"/>
        <w:widowControl w:val="1"/>
      </w:pPr>
      <w:r>
        <w:t xml:space="preserve">Each score-model head needs per-row training labels. We run six independent label-source pipelines once over the corpus, before any score-model training begins. Three feed active steering signals (Viability, Sensitivity, Hazard) with energetic-domain or rule-based labels; three feed auxiliary multi-task heads (Performance, SA, SC) with smoke-ensemble or drug-domain labels.</w:t>
      </w:r>
    </w:p>
    <w:p>
      <w:pPr>
        <w:pStyle w:val="BodyText"/>
        <w:jc w:val="both"/>
        <w:keepNext w:val="0"/>
        <w:keepLines w:val="0"/>
        <w:widowControl w:val="1"/>
      </w:pPr>
      <w:r>
        <w:t xml:space="preserve">Each head plays a distinct role.</w:t>
      </w:r>
      <w:r>
        <w:t xml:space="preserve"> </w:t>
      </w:r>
      <w:r>
        <w:rPr>
          <w:b/>
          <w:bCs/>
        </w:rPr>
        <w:t xml:space="preserve">Viability</w:t>
      </w:r>
      <w:r>
        <w:t xml:space="preserve"> </w:t>
      </w:r>
      <w:r>
        <w:t xml:space="preserve">is the gatekeeper gradient that steers away from non-energetic regions;</w:t>
      </w:r>
      <w:r>
        <w:t xml:space="preserve"> </w:t>
      </w:r>
      <w:r>
        <w:rPr>
          <w:b/>
          <w:bCs/>
        </w:rPr>
        <w:t xml:space="preserve">Sensitivity</w:t>
      </w:r>
      <w:r>
        <w:t xml:space="preserve"> </w:t>
      </w:r>
      <w:r>
        <w:t xml:space="preserve">and</w:t>
      </w:r>
      <w:r>
        <w:t xml:space="preserve"> </w:t>
      </w:r>
      <w:r>
        <w:rPr>
          <w:b/>
          <w:bCs/>
        </w:rPr>
        <w:t xml:space="preserve">Hazard</w:t>
      </w:r>
      <w:r>
        <w:t xml:space="preserve"> </w:t>
      </w:r>
      <w:r>
        <w:t xml:space="preserve">are the safety axes the user cares about. These three are the active steering signals invoked at sample time.</w:t>
      </w:r>
      <w:r>
        <w:t xml:space="preserve"> </w:t>
      </w:r>
      <w:r>
        <w:rPr>
          <w:b/>
          <w:bCs/>
        </w:rPr>
        <w:t xml:space="preserve">Performance</w:t>
      </w:r>
      <w:r>
        <w:t xml:space="preserve">,</w:t>
      </w:r>
      <w:r>
        <w:t xml:space="preserve"> </w:t>
      </w:r>
      <w:r>
        <w:rPr>
          <w:b/>
          <w:bCs/>
        </w:rPr>
        <w:t xml:space="preserve">SA</w:t>
      </w:r>
      <w:r>
        <w:t xml:space="preserve">, and</w:t>
      </w:r>
      <w:r>
        <w:t xml:space="preserve"> </w:t>
      </w:r>
      <w:r>
        <w:rPr>
          <w:b/>
          <w:bCs/>
        </w:rPr>
        <w:t xml:space="preserve">SC</w:t>
      </w:r>
      <w:r>
        <w:t xml:space="preserve"> </w:t>
      </w:r>
      <w:r>
        <w:t xml:space="preserve">are auxiliary multi-task heads: trained on the shared trunk for regularisation but not invoked in the steering bus. Stage 2 of the Figure 14 reranker uses the 3D-CNN smoke ensemble (§4.10) for property scoring, not the latent Performance head.</w:t>
      </w:r>
    </w:p>
    <w:p>
      <w:pPr>
        <w:pStyle w:val="BodyText"/>
        <w:jc w:val="both"/>
        <w:keepNext w:val="0"/>
        <w:keepLines w:val="0"/>
        <w:widowControl w:val="1"/>
      </w:pPr>
      <w:r>
        <w:t xml:space="preserve">Figure 10 walks the base label pipelines. A Random Forest on Morgan FP + RDKit descriptors yields</w:t>
      </w:r>
      <w:r>
        <w:t xml:space="preserve"> </w:t>
      </w:r>
      <m:oMath>
        <m:sSub>
          <m:e>
            <m:r>
              <m:t>y</m:t>
            </m:r>
          </m:e>
          <m:sub>
            <m:r>
              <m:rPr>
                <m:nor/>
                <m:sty m:val="p"/>
              </m:rPr>
              <m:t>viab</m:t>
            </m:r>
          </m:sub>
        </m:sSub>
      </m:oMath>
      <w:r>
        <w:t xml:space="preserve">; a Politzer–Murray BDE chemotype-class fit on Huang &amp; Massa</w:t>
      </w:r>
      <w:r>
        <w:t xml:space="preserve"> </w:t>
      </w:r>
      <w:hyperlink w:anchor="ref-huang2021applying">
        <w:r>
          <w:rPr>
            <w:rStyle w:val="Hyperlink"/>
          </w:rPr>
          <w:t xml:space="preserve">[58a]</w:t>
        </w:r>
      </w:hyperlink>
      <w:r>
        <w:t xml:space="preserve"> </w:t>
      </w:r>
      <m:oMath>
        <m:sSub>
          <m:e>
            <m:r>
              <m:t>h</m:t>
            </m:r>
          </m:e>
          <m:sub>
            <m:r>
              <m:t>50</m:t>
            </m:r>
          </m:sub>
        </m:sSub>
      </m:oMath>
      <w:r>
        <w:t xml:space="preserve"> </w:t>
      </w:r>
      <w:r>
        <w:t xml:space="preserve">data yields</w:t>
      </w:r>
      <w:r>
        <w:t xml:space="preserve"> </w:t>
      </w:r>
      <m:oMath>
        <m:sSub>
          <m:e>
            <m:r>
              <m:t>y</m:t>
            </m:r>
          </m:e>
          <m:sub>
            <m:r>
              <m:rPr>
                <m:nor/>
                <m:sty m:val="p"/>
              </m:rPr>
              <m:t>sens</m:t>
            </m:r>
          </m:sub>
        </m:sSub>
      </m:oMath>
      <w:r>
        <w:t xml:space="preserve"> </w:t>
      </w:r>
      <w:r>
        <w:t xml:space="preserve">(y_sens ∈ [0,1] with 1 = high sensitivity / dangerous; guidance descends this signal to reduce predicted sensitivity); the chemist-curated SMARTS catalog plus the Bruns–Watson demerit list yields</w:t>
      </w:r>
      <w:r>
        <w:t xml:space="preserve"> </w:t>
      </w:r>
      <m:oMath>
        <m:sSub>
          <m:e>
            <m:r>
              <m:t>y</m:t>
            </m:r>
          </m:e>
          <m:sub>
            <m:r>
              <m:rPr>
                <m:nor/>
                <m:sty m:val="p"/>
              </m:rPr>
              <m:t>haz</m:t>
            </m:r>
          </m:sub>
        </m:sSub>
      </m:oMath>
      <w:r>
        <w:t xml:space="preserve">; and a 3D-CNN/Uni-Mol smoke ensemble yields</w:t>
      </w:r>
      <w:r>
        <w:t xml:space="preserve"> </w:t>
      </w:r>
      <m:oMath>
        <m:sSub>
          <m:e>
            <m:r>
              <m:t>y</m:t>
            </m:r>
          </m:e>
          <m:sub>
            <m:r>
              <m:rPr>
                <m:nor/>
                <m:sty m:val="p"/>
              </m:rPr>
              <m:t>perf</m:t>
            </m:r>
          </m:sub>
        </m:sSub>
        <m:r>
          <m:rPr>
            <m:sty m:val="p"/>
          </m:rPr>
          <m:t>∈</m:t>
        </m:r>
        <m:sSup>
          <m:e>
            <m:r>
              <m:rPr>
                <m:scr m:val="double-struck"/>
                <m:sty m:val="p"/>
              </m:rPr>
              <m:t>R</m:t>
            </m:r>
          </m:e>
          <m:sup>
            <m:r>
              <m:t>4</m:t>
            </m:r>
          </m:sup>
        </m:sSup>
      </m:oMath>
      <w:r>
        <w:t xml:space="preserve"> </w:t>
      </w:r>
      <w:r>
        <w:t xml:space="preserve">over</w:t>
      </w:r>
      <w:r>
        <w:t xml:space="preserve"> </w:t>
      </w:r>
      <m:oMath>
        <m:r>
          <m:rPr>
            <m:sty m:val="p"/>
          </m:rPr>
          <m:t>(</m:t>
        </m:r>
        <m:r>
          <m:t>ρ</m:t>
        </m:r>
        <m:r>
          <m:rPr>
            <m:sty m:val="p"/>
          </m:rPr>
          <m:t>,</m:t>
        </m:r>
        <m:r>
          <m:t>D</m:t>
        </m:r>
        <m:r>
          <m:rPr>
            <m:sty m:val="p"/>
          </m:rPr>
          <m:t>,</m:t>
        </m:r>
        <m:r>
          <m:t>P</m:t>
        </m:r>
        <m:r>
          <m:rPr>
            <m:sty m:val="p"/>
          </m:rPr>
          <m:t>,</m:t>
        </m:r>
        <m:r>
          <m:rPr>
            <m:sty m:val="p"/>
          </m:rPr>
          <m:t>H</m:t>
        </m:r>
        <m:r>
          <m:rPr>
            <m:sty m:val="p"/>
          </m:rPr>
          <m:t>O</m:t>
        </m:r>
        <m:r>
          <m:rPr>
            <m:sty m:val="p"/>
          </m:rPr>
          <m:t>F</m:t>
        </m:r>
        <m:r>
          <m:rPr>
            <m:sty m:val="p"/>
          </m:rPr>
          <m:t>)</m:t>
        </m:r>
      </m:oMath>
      <w:r>
        <w:t xml:space="preserve">. The cached LIMO</w:t>
      </w:r>
      <w:r>
        <w:t xml:space="preserve"> </w:t>
      </w:r>
      <m:oMath>
        <m:r>
          <m:t>μ</m:t>
        </m:r>
      </m:oMath>
      <w:r>
        <w:t xml:space="preserve"> </w:t>
      </w:r>
      <w:r>
        <w:t xml:space="preserve">is held separately for the noised-latent training of the score model. Random Forest probability is portable, smooth, and decoupled; see Appendix B.1.</w:t>
      </w:r>
    </w:p>
    <w:bookmarkStart w:id="65" w:name="fig-10"/>
    <w:p>
      <w:pPr>
        <w:pStyle w:val="BodyText"/>
        <w:jc w:val="center"/>
        <w:keepNext/>
        <w:keepLines/>
        <w:widowControl w:val="1"/>
      </w:pPr>
      <w:r>
        <w:drawing>
          <wp:inline>
            <wp:extent cx="5943600" cy="3343275"/>
            <wp:effectExtent b="0" l="0" r="0" t="0"/>
            <wp:docPr descr="DGLD score-model data labeling: SMILES + LIMO latent + four label-source models" title="" id="63" name="Picture"/>
            <a:graphic>
              <a:graphicData uri="http://schemas.openxmlformats.org/drawingml/2006/picture">
                <pic:pic>
                  <pic:nvPicPr>
                    <pic:cNvPr descr="figs/fig4e1_data_labeling.png" id="64" name="Picture"/>
                    <pic:cNvPicPr>
                      <a:picLocks noChangeArrowheads="1" noChangeAspect="1"/>
                    </pic:cNvPicPr>
                  </pic:nvPicPr>
                  <pic:blipFill>
                    <a:blip r:embed="rId62"/>
                    <a:stretch>
                      <a:fillRect/>
                    </a:stretch>
                  </pic:blipFill>
                  <pic:spPr bwMode="auto">
                    <a:xfrm>
                      <a:off x="0" y="0"/>
                      <a:ext cx="5943600" cy="3343275"/>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10.</w:t>
      </w:r>
      <w:r>
        <w:t xml:space="preserve"> </w:t>
      </w:r>
      <w:r>
        <w:t xml:space="preserve">Four offline pipelines (run once per corpus) generate per-row labels: Random Forest</w:t>
      </w:r>
      <w:r>
        <w:t xml:space="preserve"> </w:t>
      </w:r>
      <m:oMath>
        <m:r>
          <m:rPr>
            <m:sty m:val="p"/>
          </m:rPr>
          <m:t>→</m:t>
        </m:r>
        <m:sSub>
          <m:e>
            <m:r>
              <m:t>y</m:t>
            </m:r>
          </m:e>
          <m:sub>
            <m:r>
              <m:rPr>
                <m:nor/>
                <m:sty m:val="p"/>
              </m:rPr>
              <m:t>viab</m:t>
            </m:r>
          </m:sub>
        </m:sSub>
      </m:oMath>
      <w:r>
        <w:t xml:space="preserve">; Politzer–Murray BDE</w:t>
      </w:r>
      <w:r>
        <w:t xml:space="preserve"> </w:t>
      </w:r>
      <m:oMath>
        <m:r>
          <m:rPr>
            <m:sty m:val="p"/>
          </m:rPr>
          <m:t>→</m:t>
        </m:r>
        <m:sSub>
          <m:e>
            <m:r>
              <m:t>y</m:t>
            </m:r>
          </m:e>
          <m:sub>
            <m:r>
              <m:rPr>
                <m:nor/>
                <m:sty m:val="p"/>
              </m:rPr>
              <m:t>sens</m:t>
            </m:r>
          </m:sub>
        </m:sSub>
      </m:oMath>
      <w:r>
        <w:t xml:space="preserve">; SMARTS + Bruns–Watson</w:t>
      </w:r>
      <w:r>
        <w:t xml:space="preserve"> </w:t>
      </w:r>
      <m:oMath>
        <m:r>
          <m:rPr>
            <m:sty m:val="p"/>
          </m:rPr>
          <m:t>→</m:t>
        </m:r>
        <m:sSub>
          <m:e>
            <m:r>
              <m:t>y</m:t>
            </m:r>
          </m:e>
          <m:sub>
            <m:r>
              <m:rPr>
                <m:nor/>
                <m:sty m:val="p"/>
              </m:rPr>
              <m:t>haz</m:t>
            </m:r>
          </m:sub>
        </m:sSub>
      </m:oMath>
      <w:r>
        <w:t xml:space="preserve">; 3D-CNN/Uni-Mol smoke ensemble</w:t>
      </w:r>
      <w:r>
        <w:t xml:space="preserve"> </w:t>
      </w:r>
      <m:oMath>
        <m:r>
          <m:rPr>
            <m:sty m:val="p"/>
          </m:rPr>
          <m:t>→</m:t>
        </m:r>
        <m:sSub>
          <m:e>
            <m:r>
              <m:t>y</m:t>
            </m:r>
          </m:e>
          <m:sub>
            <m:r>
              <m:rPr>
                <m:nor/>
                <m:sty m:val="p"/>
              </m:rPr>
              <m:t>perf</m:t>
            </m:r>
          </m:sub>
        </m:sSub>
        <m:r>
          <m:rPr>
            <m:sty m:val="p"/>
          </m:rPr>
          <m:t>∈</m:t>
        </m:r>
        <m:sSup>
          <m:e>
            <m:r>
              <m:rPr>
                <m:scr m:val="double-struck"/>
                <m:sty m:val="p"/>
              </m:rPr>
              <m:t>R</m:t>
            </m:r>
          </m:e>
          <m:sup>
            <m:r>
              <m:t>4</m:t>
            </m:r>
          </m:sup>
        </m:sSup>
      </m:oMath>
      <w:r>
        <w:t xml:space="preserve">. Cached LIMO</w:t>
      </w:r>
      <w:r>
        <w:t xml:space="preserve"> </w:t>
      </w:r>
      <m:oMath>
        <m:r>
          <m:t>z</m:t>
        </m:r>
      </m:oMath>
      <w:r>
        <w:t xml:space="preserve"> </w:t>
      </w:r>
      <w:r>
        <w:t xml:space="preserve">is held for Figure 12 (Self-distillation). Sources in Table B.1c.</w:t>
      </w:r>
    </w:p>
    <w:bookmarkEnd w:id="65"/>
    <w:bookmarkEnd w:id="66"/>
    <w:bookmarkStart w:id="71" w:name="score-model-training"/>
    <w:p>
      <w:pPr>
        <w:pStyle w:val="Heading3"/>
        <w:keepNext/>
        <w:keepLines/>
        <w:widowControl w:val="1"/>
      </w:pPr>
      <w:r>
        <w:t xml:space="preserve">4.7 Score-model training</w:t>
      </w:r>
    </w:p>
    <w:p>
      <w:pPr>
        <w:pStyle w:val="FirstParagraph"/>
        <w:jc w:val="both"/>
        <w:keepNext w:val="0"/>
        <w:keepLines w:val="0"/>
        <w:widowControl w:val="1"/>
      </w:pPr>
      <w:r>
        <w:t xml:space="preserve">All six heads are trained jointly on a shared 4-block FiLM-MLP trunk under multi-task supervision. The trunk is regularised by all six losses; at sample time, only the three active steering signals are actually invoked. Auxiliary multi-task heads (Performance, SA, SC) earn their trunk-improving role during training but stay quiet during sampling.</w:t>
      </w:r>
    </w:p>
    <w:p>
      <w:pPr>
        <w:pStyle w:val="BodyText"/>
        <w:jc w:val="both"/>
        <w:keepNext w:val="0"/>
        <w:keepLines w:val="0"/>
        <w:widowControl w:val="1"/>
      </w:pPr>
      <w:r>
        <w:t xml:space="preserve">The score-model trunk and six heads are trained on noised LIMO latents using the labels of §4.6 under multi-task supervision: three of the six (Viability, Sensitivity, Hazard) contribute steering signals at sample time, three (Performance, SA, SC) are auxiliary multi-task signals trained for trunk regularisation only.</w:t>
      </w:r>
    </w:p>
    <w:p>
      <w:pPr>
        <w:pStyle w:val="BodyText"/>
        <w:jc w:val="both"/>
        <w:keepNext w:val="0"/>
        <w:keepLines w:val="0"/>
        <w:widowControl w:val="1"/>
      </w:pPr>
      <w:r>
        <w:t xml:space="preserve">Figure 11 walks score-model training. A shared 4-block FiLM-MLP trunk (1024-d hidden) consumes</w:t>
      </w:r>
      <w:r>
        <w:t xml:space="preserve"> </w:t>
      </w:r>
      <m:oMath>
        <m:r>
          <m:rPr>
            <m:sty m:val="p"/>
          </m:rPr>
          <m:t>(</m:t>
        </m:r>
        <m:sSub>
          <m:e>
            <m:r>
              <m:t>z</m:t>
            </m:r>
          </m:e>
          <m:sub>
            <m:r>
              <m:t>t</m:t>
            </m:r>
          </m:sub>
        </m:sSub>
        <m:r>
          <m:rPr>
            <m:sty m:val="p"/>
          </m:rPr>
          <m:t>,</m:t>
        </m:r>
        <m:sSub>
          <m:e>
            <m:r>
              <m:t>σ</m:t>
            </m:r>
          </m:e>
          <m:sub>
            <m:r>
              <m:t>t</m:t>
            </m:r>
          </m:sub>
        </m:sSub>
        <m:r>
          <m:rPr>
            <m:sty m:val="p"/>
          </m:rPr>
          <m:t>)</m:t>
        </m:r>
      </m:oMath>
      <w:r>
        <w:t xml:space="preserve">, where</w:t>
      </w:r>
      <w:r>
        <w:t xml:space="preserve"> </w:t>
      </w:r>
      <m:oMath>
        <m:sSub>
          <m:e>
            <m:r>
              <m:t>σ</m:t>
            </m:r>
          </m:e>
          <m:sub>
            <m:r>
              <m:t>t</m:t>
            </m:r>
          </m:sub>
        </m:sSub>
        <m:r>
          <m:rPr>
            <m:sty m:val="p"/>
          </m:rPr>
          <m:t>=</m:t>
        </m:r>
        <m:rad>
          <m:radPr>
            <m:degHide m:val="on"/>
          </m:radPr>
          <m:deg/>
          <m:e>
            <m:r>
              <m:t>1</m:t>
            </m:r>
            <m:r>
              <m:rPr>
                <m:sty m:val="p"/>
              </m:rPr>
              <m:t>−</m:t>
            </m:r>
            <m:sSub>
              <m:e>
                <m:acc>
                  <m:accPr>
                    <m:chr m:val="‾"/>
                  </m:accPr>
                  <m:e>
                    <m:r>
                      <m:t>α</m:t>
                    </m:r>
                  </m:e>
                </m:acc>
              </m:e>
              <m:sub>
                <m:r>
                  <m:t>t</m:t>
                </m:r>
              </m:sub>
            </m:sSub>
          </m:e>
        </m:rad>
      </m:oMath>
      <w:r>
        <w:t xml:space="preserve"> </w:t>
      </w:r>
      <w:r>
        <w:t xml:space="preserve">is embedded into a 128-d sinusoidal token. Six heads branch off the trunk: Viability and Hazard are sigmoid heads trained with binary cross-entropy; Sensitivity, SA, and SC are smooth-L1 regressors; Performance is a 4-vector smooth-L1 regressor on</w:t>
      </w:r>
      <w:r>
        <w:t xml:space="preserve"> </w:t>
      </w:r>
      <m:oMath>
        <m:r>
          <m:rPr>
            <m:sty m:val="p"/>
          </m:rPr>
          <m:t>(</m:t>
        </m:r>
        <m:r>
          <m:t>ρ</m:t>
        </m:r>
        <m:r>
          <m:rPr>
            <m:sty m:val="p"/>
          </m:rPr>
          <m:t>,</m:t>
        </m:r>
        <m:r>
          <m:t>D</m:t>
        </m:r>
        <m:r>
          <m:rPr>
            <m:sty m:val="p"/>
          </m:rPr>
          <m:t>,</m:t>
        </m:r>
        <m:r>
          <m:t>P</m:t>
        </m:r>
        <m:r>
          <m:rPr>
            <m:sty m:val="p"/>
          </m:rPr>
          <m:t>,</m:t>
        </m:r>
        <m:r>
          <m:rPr>
            <m:sty m:val="p"/>
          </m:rPr>
          <m:t>H</m:t>
        </m:r>
        <m:r>
          <m:rPr>
            <m:sty m:val="p"/>
          </m:rPr>
          <m:t>O</m:t>
        </m:r>
        <m:r>
          <m:rPr>
            <m:sty m:val="p"/>
          </m:rPr>
          <m:t>F</m:t>
        </m:r>
        <m:r>
          <m:rPr>
            <m:sty m:val="p"/>
          </m:rPr>
          <m:t>)</m:t>
        </m:r>
      </m:oMath>
      <w:r>
        <w:t xml:space="preserve">. Crucially, training data are</w:t>
      </w:r>
      <w:r>
        <w:t xml:space="preserve"> </w:t>
      </w:r>
      <w:r>
        <w:rPr>
          <w:i/>
          <w:iCs/>
        </w:rPr>
        <w:t xml:space="preserve">noised</w:t>
      </w:r>
      <w:r>
        <w:t xml:space="preserve"> </w:t>
      </w:r>
      <w:r>
        <w:t xml:space="preserve">latents at uniform</w:t>
      </w:r>
      <w:r>
        <w:t xml:space="preserve"> </w:t>
      </w:r>
      <m:oMath>
        <m:r>
          <m:t>t</m:t>
        </m:r>
      </m:oMath>
      <w:r>
        <w:t xml:space="preserve">, not clean</w:t>
      </w:r>
      <w:r>
        <w:t xml:space="preserve"> </w:t>
      </w:r>
      <m:oMath>
        <m:r>
          <m:t>μ</m:t>
        </m:r>
      </m:oMath>
      <w:r>
        <w:t xml:space="preserve">, so the gradient is queried at every</w:t>
      </w:r>
      <w:r>
        <w:t xml:space="preserve"> </w:t>
      </w:r>
      <m:oMath>
        <m:sSub>
          <m:e>
            <m:r>
              <m:t>σ</m:t>
            </m:r>
          </m:e>
          <m:sub>
            <m:r>
              <m:t>t</m:t>
            </m:r>
          </m:sub>
        </m:sSub>
      </m:oMath>
      <w:r>
        <w:t xml:space="preserve"> </w:t>
      </w:r>
      <w:r>
        <w:t xml:space="preserve">along the sampling trajectory. The total loss is the availability-mask-gated sum</w:t>
      </w:r>
    </w:p>
    <w:p>
      <w:pPr>
        <w:pStyle w:val="BodyText"/>
      </w:pPr>
      <m:oMathPara>
        <m:oMathParaPr>
          <m:jc m:val="center"/>
        </m:oMathParaPr>
        <m:oMath>
          <m:sSub>
            <m:e>
              <m:r>
                <m:rPr>
                  <m:scr m:val="script"/>
                  <m:sty m:val="p"/>
                </m:rPr>
                <m:t>L</m:t>
              </m:r>
            </m:e>
            <m:sub>
              <m:r>
                <m:rPr>
                  <m:nor/>
                  <m:sty m:val="p"/>
                </m:rPr>
                <m:t>score</m:t>
              </m:r>
            </m:sub>
          </m:sSub>
          <m:r>
            <m:rPr>
              <m:sty m:val="p"/>
            </m:rPr>
            <m:t>=</m:t>
          </m:r>
          <m:nary>
            <m:naryPr>
              <m:chr m:val="∑"/>
              <m:limLoc m:val="undOvr"/>
              <m:subHide m:val="off"/>
              <m:supHide m:val="on"/>
            </m:naryPr>
            <m:sub>
              <m:r>
                <m:t>k</m:t>
              </m:r>
            </m:sub>
            <m:sup>
              <m:r>
                <m:t>​</m:t>
              </m:r>
            </m:sup>
            <m:e>
              <m:sSub>
                <m:e>
                  <m:r>
                    <m:t>a</m:t>
                  </m:r>
                </m:e>
                <m:sub>
                  <m:r>
                    <m:t>k</m:t>
                  </m:r>
                </m:sub>
              </m:sSub>
            </m:e>
          </m:nary>
          <m:r>
            <m:rPr>
              <m:sty m:val="p"/>
            </m:rPr>
            <m:t>⋅</m:t>
          </m:r>
          <m:sSub>
            <m:e>
              <m:r>
                <m:t>w</m:t>
              </m:r>
            </m:e>
            <m:sub>
              <m:r>
                <m:t>k</m:t>
              </m:r>
            </m:sub>
          </m:sSub>
          <m:r>
            <m:rPr>
              <m:sty m:val="p"/>
            </m:rPr>
            <m:t>⋅</m:t>
          </m:r>
          <m:sSub>
            <m:e>
              <m:r>
                <m:rPr>
                  <m:scr m:val="script"/>
                  <m:sty m:val="p"/>
                </m:rPr>
                <m:t>L</m:t>
              </m:r>
            </m:e>
            <m:sub>
              <m:r>
                <m:t>k</m:t>
              </m:r>
            </m:sub>
          </m:sSub>
          <m:d>
            <m:dPr>
              <m:begChr m:val="("/>
              <m:sepChr m:val=""/>
              <m:endChr m:val=")"/>
              <m:grow/>
            </m:dPr>
            <m:e>
              <m:sSub>
                <m:e>
                  <m:acc>
                    <m:accPr>
                      <m:chr m:val="̂"/>
                    </m:accPr>
                    <m:e>
                      <m:r>
                        <m:t>y</m:t>
                      </m:r>
                    </m:e>
                  </m:acc>
                </m:e>
                <m:sub>
                  <m:r>
                    <m:t>k</m:t>
                  </m:r>
                </m:sub>
              </m:sSub>
              <m:r>
                <m:rPr>
                  <m:sty m:val="p"/>
                </m:rPr>
                <m:t>(</m:t>
              </m:r>
              <m:sSub>
                <m:e>
                  <m:r>
                    <m:t>z</m:t>
                  </m:r>
                </m:e>
                <m:sub>
                  <m:r>
                    <m:t>t</m:t>
                  </m:r>
                </m:sub>
              </m:sSub>
              <m:r>
                <m:rPr>
                  <m:sty m:val="p"/>
                </m:rPr>
                <m:t>,</m:t>
              </m:r>
              <m:sSub>
                <m:e>
                  <m:r>
                    <m:t>σ</m:t>
                  </m:r>
                </m:e>
                <m:sub>
                  <m:r>
                    <m:t>t</m:t>
                  </m:r>
                </m:sub>
              </m:sSub>
              <m:r>
                <m:rPr>
                  <m:sty m:val="p"/>
                </m:rPr>
                <m:t>)</m:t>
              </m:r>
              <m:r>
                <m:rPr>
                  <m:sty m:val="p"/>
                </m:rPr>
                <m:t>,</m:t>
              </m:r>
              <m:r>
                <m:t> </m:t>
              </m:r>
              <m:sSub>
                <m:e>
                  <m:r>
                    <m:t>y</m:t>
                  </m:r>
                </m:e>
                <m:sub>
                  <m:r>
                    <m:t>k</m:t>
                  </m:r>
                </m:sub>
              </m:sSub>
            </m:e>
          </m:d>
          <m:r>
            <m:rPr>
              <m:sty m:val="p"/>
            </m:rPr>
            <m:t>,</m:t>
          </m:r>
        </m:oMath>
      </m:oMathPara>
    </w:p>
    <w:p>
      <w:pPr>
        <w:pStyle w:val="FirstParagraph"/>
        <w:jc w:val="both"/>
        <w:keepNext w:val="0"/>
        <w:keepLines w:val="0"/>
        <w:widowControl w:val="1"/>
      </w:pPr>
      <w:r>
        <w:t xml:space="preserve">where</w:t>
      </w:r>
      <w:r>
        <w:t xml:space="preserve"> </w:t>
      </w:r>
      <m:oMath>
        <m:r>
          <m:t>a</m:t>
        </m:r>
        <m:r>
          <m:rPr>
            <m:sty m:val="p"/>
          </m:rPr>
          <m:t>∈</m:t>
        </m:r>
        <m:r>
          <m:rPr>
            <m:sty m:val="p"/>
          </m:rPr>
          <m:t>{</m:t>
        </m:r>
        <m:r>
          <m:t>0</m:t>
        </m:r>
        <m:r>
          <m:rPr>
            <m:sty m:val="p"/>
          </m:rPr>
          <m:t>,</m:t>
        </m:r>
        <m:r>
          <m:t>1</m:t>
        </m:r>
        <m:sSup>
          <m:e>
            <m:r>
              <m:rPr>
                <m:sty m:val="p"/>
              </m:rPr>
              <m:t>}</m:t>
            </m:r>
          </m:e>
          <m:sup>
            <m:r>
              <m:t>6</m:t>
            </m:r>
          </m:sup>
        </m:sSup>
      </m:oMath>
      <w:r>
        <w:t xml:space="preserve"> </w:t>
      </w:r>
      <w:r>
        <w:t xml:space="preserve">is the per-head</w:t>
      </w:r>
      <w:r>
        <w:t xml:space="preserve"> </w:t>
      </w:r>
      <w:r>
        <w:rPr>
          <w:i/>
          <w:iCs/>
        </w:rPr>
        <w:t xml:space="preserve">availability</w:t>
      </w:r>
      <w:r>
        <w:t xml:space="preserve"> </w:t>
      </w:r>
      <w:r>
        <w:t xml:space="preserve">mask (distinct from the denoiser's per-property conditioning mask</w:t>
      </w:r>
      <w:r>
        <w:t xml:space="preserve"> </w:t>
      </w:r>
      <m:oMath>
        <m:r>
          <m:t>m</m:t>
        </m:r>
        <m:r>
          <m:rPr>
            <m:sty m:val="p"/>
          </m:rPr>
          <m:t>∈</m:t>
        </m:r>
        <m:r>
          <m:rPr>
            <m:sty m:val="p"/>
          </m:rPr>
          <m:t>{</m:t>
        </m:r>
        <m:r>
          <m:t>0</m:t>
        </m:r>
        <m:r>
          <m:rPr>
            <m:sty m:val="p"/>
          </m:rPr>
          <m:t>,</m:t>
        </m:r>
        <m:r>
          <m:t>1</m:t>
        </m:r>
        <m:sSup>
          <m:e>
            <m:r>
              <m:rPr>
                <m:sty m:val="p"/>
              </m:rPr>
              <m:t>}</m:t>
            </m:r>
          </m:e>
          <m:sup>
            <m:r>
              <m:t>4</m:t>
            </m:r>
          </m:sup>
        </m:sSup>
      </m:oMath>
      <w:r>
        <w:t xml:space="preserve"> </w:t>
      </w:r>
      <w:r>
        <w:t xml:space="preserve">of Figs 8 and 9) and</w:t>
      </w:r>
      <w:r>
        <w:t xml:space="preserve"> </w:t>
      </w:r>
      <m:oMath>
        <m:sSub>
          <m:e>
            <m:r>
              <m:t>w</m:t>
            </m:r>
          </m:e>
          <m:sub>
            <m:r>
              <m:t>k</m:t>
            </m:r>
          </m:sub>
        </m:sSub>
      </m:oMath>
      <w:r>
        <w:t xml:space="preserve"> </w:t>
      </w:r>
      <w:r>
        <w:t xml:space="preserve">are static head weights chosen so each</w:t>
      </w:r>
      <w:r>
        <w:t xml:space="preserve"> </w:t>
      </w:r>
      <m:oMath>
        <m:sSub>
          <m:e>
            <m:r>
              <m:rPr>
                <m:scr m:val="script"/>
                <m:sty m:val="p"/>
              </m:rPr>
              <m:t>L</m:t>
            </m:r>
          </m:e>
          <m:sub>
            <m:r>
              <m:t>k</m:t>
            </m:r>
          </m:sub>
        </m:sSub>
      </m:oMath>
      <w:r>
        <w:t xml:space="preserve"> </w:t>
      </w:r>
      <w:r>
        <w:t xml:space="preserve">sits at</w:t>
      </w:r>
      <w:r>
        <w:t xml:space="preserve"> </w:t>
      </w:r>
      <m:oMath>
        <m:r>
          <m:rPr>
            <m:scr m:val="script"/>
            <m:sty m:val="p"/>
          </m:rPr>
          <m:t>O</m:t>
        </m:r>
        <m:r>
          <m:rPr>
            <m:sty m:val="p"/>
          </m:rPr>
          <m:t>(</m:t>
        </m:r>
        <m:r>
          <m:t>1</m:t>
        </m:r>
        <m:r>
          <m:rPr>
            <m:sty m:val="p"/>
          </m:rPr>
          <m:t>)</m:t>
        </m:r>
      </m:oMath>
      <w:r>
        <w:t xml:space="preserve"> </w:t>
      </w:r>
      <w:r>
        <w:t xml:space="preserve">at convergence (values in Table B.1b). Optimiser AdamW, peak LR</w:t>
      </w:r>
      <w:r>
        <w:t xml:space="preserve"> </w:t>
      </w:r>
      <m:oMath>
        <m:r>
          <m:t>2</m:t>
        </m:r>
        <m:r>
          <m:rPr>
            <m:sty m:val="p"/>
          </m:rPr>
          <m:t>×</m:t>
        </m:r>
        <m:sSup>
          <m:e>
            <m:r>
              <m:t>10</m:t>
            </m:r>
          </m:e>
          <m:sup>
            <m:r>
              <m:rPr>
                <m:sty m:val="p"/>
              </m:rPr>
              <m:t>−</m:t>
            </m:r>
            <m:r>
              <m:t>4</m:t>
            </m:r>
          </m:sup>
        </m:sSup>
      </m:oMath>
      <w:r>
        <w:t xml:space="preserve">, cosine decay, batch 1024,</w:t>
      </w:r>
      <w:r>
        <w:t xml:space="preserve"> </w:t>
      </w:r>
      <m:oMath>
        <m:r>
          <m:rPr>
            <m:sty m:val="p"/>
          </m:rPr>
          <m:t>∼</m:t>
        </m:r>
      </m:oMath>
      <w:r>
        <w:t xml:space="preserve">40k steps, EMA decay 0.999.</w:t>
      </w:r>
    </w:p>
    <w:bookmarkStart w:id="70" w:name="fig-11"/>
    <w:p>
      <w:pPr>
        <w:pStyle w:val="BodyText"/>
        <w:jc w:val="center"/>
        <w:keepNext/>
        <w:keepLines/>
        <w:widowControl w:val="1"/>
      </w:pPr>
      <w:r>
        <w:drawing>
          <wp:inline>
            <wp:extent cx="5943600" cy="3347054"/>
            <wp:effectExtent b="0" l="0" r="0" t="0"/>
            <wp:docPr descr="DGLD guidance training: shared FiLM-MLP trunk + 4 heads + per-head losses" title="" id="68" name="Picture"/>
            <a:graphic>
              <a:graphicData uri="http://schemas.openxmlformats.org/drawingml/2006/picture">
                <pic:pic>
                  <pic:nvPicPr>
                    <pic:cNvPr descr="figs/fig4e1_guide_train.png" id="69" name="Picture"/>
                    <pic:cNvPicPr>
                      <a:picLocks noChangeArrowheads="1" noChangeAspect="1"/>
                    </pic:cNvPicPr>
                  </pic:nvPicPr>
                  <pic:blipFill>
                    <a:blip r:embed="rId67"/>
                    <a:stretch>
                      <a:fillRect/>
                    </a:stretch>
                  </pic:blipFill>
                  <pic:spPr bwMode="auto">
                    <a:xfrm>
                      <a:off x="0" y="0"/>
                      <a:ext cx="5943600" cy="334705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11.</w:t>
      </w:r>
      <w:r>
        <w:t xml:space="preserve"> </w:t>
      </w:r>
      <w:r>
        <w:t xml:space="preserve">Forward-diffused latent</w:t>
      </w:r>
      <w:r>
        <w:t xml:space="preserve"> </w:t>
      </w:r>
      <m:oMath>
        <m:sSub>
          <m:e>
            <m:r>
              <m:t>z</m:t>
            </m:r>
          </m:e>
          <m:sub>
            <m:r>
              <m:t>t</m:t>
            </m:r>
          </m:sub>
        </m:sSub>
      </m:oMath>
      <w:r>
        <w:t xml:space="preserve"> </w:t>
      </w:r>
      <w:r>
        <w:t xml:space="preserve">and the</w:t>
      </w:r>
      <w:r>
        <w:t xml:space="preserve"> </w:t>
      </w:r>
      <m:oMath>
        <m:sSub>
          <m:e>
            <m:r>
              <m:t>σ</m:t>
            </m:r>
          </m:e>
          <m:sub>
            <m:r>
              <m:t>t</m:t>
            </m:r>
          </m:sub>
        </m:sSub>
      </m:oMath>
      <w:r>
        <w:t xml:space="preserve"> </w:t>
      </w:r>
      <w:r>
        <w:t xml:space="preserve">sinusoidal embedding feed a shared 4-block FiLM-MLP trunk (1024-d) to six heads: Viability and Hazard (sigmoid/BCE), Sensitivity (SmoothL1), Performance (SmoothL1,</w:t>
      </w:r>
      <w:r>
        <w:t xml:space="preserve"> </w:t>
      </w:r>
      <m:oMath>
        <m:r>
          <m:t>ρ</m:t>
        </m:r>
        <m:r>
          <m:rPr>
            <m:sty m:val="p"/>
          </m:rPr>
          <m:t>/</m:t>
        </m:r>
        <m:r>
          <m:t>D</m:t>
        </m:r>
        <m:r>
          <m:rPr>
            <m:sty m:val="p"/>
          </m:rPr>
          <m:t>/</m:t>
        </m:r>
        <m:r>
          <m:t>P</m:t>
        </m:r>
        <m:r>
          <m:rPr>
            <m:sty m:val="p"/>
          </m:rPr>
          <m:t>/</m:t>
        </m:r>
      </m:oMath>
      <w:r>
        <w:t xml:space="preserve">HOF), SA, SC. Loss is the head-availability-gated sum</w:t>
      </w:r>
      <w:r>
        <w:t xml:space="preserve"> </w:t>
      </w:r>
      <m:oMath>
        <m:nary>
          <m:naryPr>
            <m:chr m:val="∑"/>
            <m:limLoc m:val="undOvr"/>
            <m:subHide m:val="off"/>
            <m:supHide m:val="on"/>
          </m:naryPr>
          <m:sub>
            <m:r>
              <m:t>k</m:t>
            </m:r>
          </m:sub>
          <m:sup>
            <m:r>
              <m:t>​</m:t>
            </m:r>
          </m:sup>
          <m:e>
            <m:sSub>
              <m:e>
                <m:r>
                  <m:t>a</m:t>
                </m:r>
              </m:e>
              <m:sub>
                <m:r>
                  <m:t>k</m:t>
                </m:r>
              </m:sub>
            </m:sSub>
          </m:e>
        </m:nary>
        <m:sSub>
          <m:e>
            <m:r>
              <m:t>w</m:t>
            </m:r>
          </m:e>
          <m:sub>
            <m:r>
              <m:t>k</m:t>
            </m:r>
          </m:sub>
        </m:sSub>
        <m:sSub>
          <m:e>
            <m:r>
              <m:rPr>
                <m:scr m:val="script"/>
                <m:sty m:val="p"/>
              </m:rPr>
              <m:t>L</m:t>
            </m:r>
          </m:e>
          <m:sub>
            <m:r>
              <m:t>k</m:t>
            </m:r>
          </m:sub>
        </m:sSub>
      </m:oMath>
      <w:r>
        <w:t xml:space="preserve">; AdamW + EMA. Trains on Figure 10 base labels; the Viability head is then refined via Figure 12 (Self-distillation). At sample time only Viability, Sensitivity, and Hazard contribute steering signals; Performance, SA, and SC are auxiliary multi-task heads (Appendix B.4).</w:t>
      </w:r>
    </w:p>
    <w:bookmarkEnd w:id="70"/>
    <w:p>
      <w:pPr>
        <w:pStyle w:val="BodyText"/>
        <w:jc w:val="both"/>
        <w:keepNext w:val="0"/>
        <w:keepLines w:val="0"/>
        <w:widowControl w:val="1"/>
      </w:pPr>
      <w:r>
        <w:t xml:space="preserve">The auxiliary multi-task heads (Performance, SA, SC) train on the shared trunk for regularisation only, not invoked in the production steering bus (Appendix B.4). Two checkpoint variants (production 6-head hazard-aware and its 5-head predecessor) are released on Zenodo (Appendix D.1).</w:t>
      </w:r>
    </w:p>
    <w:bookmarkEnd w:id="71"/>
    <w:bookmarkStart w:id="76" w:name="X0c402eefa1b7ce6651dad9200caea0bd227dc28"/>
    <w:p>
      <w:pPr>
        <w:pStyle w:val="Heading3"/>
        <w:keepNext/>
        <w:keepLines/>
        <w:widowControl w:val="1"/>
      </w:pPr>
      <w:r>
        <w:t xml:space="preserve">4.8 Self-distillation refinement of the viability head</w:t>
      </w:r>
    </w:p>
    <w:p>
      <w:pPr>
        <w:pStyle w:val="FirstParagraph"/>
        <w:jc w:val="both"/>
        <w:keepNext w:val="0"/>
        <w:keepLines w:val="0"/>
        <w:widowControl w:val="1"/>
      </w:pPr>
      <w:r>
        <w:t xml:space="preserve">Round-0 viability labels combine SMARTS pass/fail with a Random Forest classifier trained on (energetic corpus, ZINC drug-like), a coarse two-class boundary. Self-distillation closes the gap between that boundary and the latent regions the diffusion sampler actually inhabits, by mining the model's own false-positive cheats and re-feeding them as labelled hard negatives.</w:t>
      </w:r>
    </w:p>
    <w:p>
      <w:pPr>
        <w:pStyle w:val="BodyText"/>
        <w:jc w:val="both"/>
        <w:keepNext w:val="0"/>
        <w:keepLines w:val="0"/>
        <w:widowControl w:val="1"/>
      </w:pPr>
      <w:r>
        <w:t xml:space="preserve">The FROZEN banner of Figure 12 is read literally. Across all rounds the LIMO encoder, LIMO decoder, the §4.5 denoisers, the Random Forest, and the SMARTS rulebook do not retrain. The score-model trunk and heads are the only thing that updates between rounds. Within the score model, hard-negative latents are labelled</w:t>
      </w:r>
      <w:r>
        <w:t xml:space="preserve"> </w:t>
      </w:r>
      <m:oMath>
        <m:sSub>
          <m:e>
            <m:r>
              <m:t>y</m:t>
            </m:r>
          </m:e>
          <m:sub>
            <m:r>
              <m:rPr>
                <m:nor/>
                <m:sty m:val="p"/>
              </m:rPr>
              <m:t>viab</m:t>
            </m:r>
          </m:sub>
        </m:sSub>
        <m:r>
          <m:rPr>
            <m:sty m:val="p"/>
          </m:rPr>
          <m:t>=</m:t>
        </m:r>
        <m:r>
          <m:t>0</m:t>
        </m:r>
      </m:oMath>
      <w:r>
        <w:t xml:space="preserve"> </w:t>
      </w:r>
      <w:r>
        <w:t xml:space="preserve">only; the other heads see those rows with</w:t>
      </w:r>
      <w:r>
        <w:t xml:space="preserve"> </w:t>
      </w:r>
      <m:oMath>
        <m:sSub>
          <m:e>
            <m:r>
              <m:t>a</m:t>
            </m:r>
          </m:e>
          <m:sub>
            <m:r>
              <m:t>k</m:t>
            </m:r>
          </m:sub>
        </m:sSub>
        <m:r>
          <m:rPr>
            <m:sty m:val="p"/>
          </m:rPr>
          <m:t>=</m:t>
        </m:r>
        <m:r>
          <m:t>0</m:t>
        </m:r>
      </m:oMath>
      <w:r>
        <w:t xml:space="preserve"> </w:t>
      </w:r>
      <w:r>
        <w:t xml:space="preserve">(unlabelled).</w:t>
      </w:r>
    </w:p>
    <w:p>
      <w:pPr>
        <w:pStyle w:val="BodyText"/>
        <w:jc w:val="both"/>
        <w:keepNext w:val="0"/>
        <w:keepLines w:val="0"/>
        <w:widowControl w:val="1"/>
      </w:pPr>
      <w:r>
        <w:t xml:space="preserve">The five-step protocol (sample → mine → encode → retrain → probe) is detailed in Appendix B.1. The hard-negative ticker on Figure 12 shows 0 </w:t>
      </w:r>
      <m:oMath>
        <m:r>
          <m:rPr>
            <m:sty m:val="p"/>
          </m:rPr>
          <m:t>→</m:t>
        </m:r>
      </m:oMath>
      <w:r>
        <w:t xml:space="preserve"> 137 </w:t>
      </w:r>
      <m:oMath>
        <m:r>
          <m:rPr>
            <m:sty m:val="p"/>
          </m:rPr>
          <m:t>→</m:t>
        </m:r>
      </m:oMath>
      <w:r>
        <w:t xml:space="preserve"> 918 cumulative negatives over rounds 0/1/2. (round-0 training uses 0 hard negatives; round-0 mining produces 137; round-1 training uses 137; round-1 mining cumulates to 918; round-2 / production training uses 918.)</w:t>
      </w:r>
    </w:p>
    <w:bookmarkStart w:id="75" w:name="fig-12"/>
    <w:p>
      <w:pPr>
        <w:pStyle w:val="BodyText"/>
        <w:jc w:val="center"/>
        <w:keepNext/>
        <w:keepLines/>
        <w:widowControl w:val="1"/>
      </w:pPr>
      <w:r>
        <w:drawing>
          <wp:inline>
            <wp:extent cx="5943600" cy="3345052"/>
            <wp:effectExtent b="0" l="0" r="0" t="0"/>
            <wp:docPr descr="DGLD viability-head self-distillation: 3 rounds of mine-then-retrain, with frozen-component banner and hard-negative growth ticker" title="" id="73" name="Picture"/>
            <a:graphic>
              <a:graphicData uri="http://schemas.openxmlformats.org/drawingml/2006/picture">
                <pic:pic>
                  <pic:nvPicPr>
                    <pic:cNvPr descr="figs/fig4f_self_distillation.png" id="74" name="Picture"/>
                    <pic:cNvPicPr>
                      <a:picLocks noChangeArrowheads="1" noChangeAspect="1"/>
                    </pic:cNvPicPr>
                  </pic:nvPicPr>
                  <pic:blipFill>
                    <a:blip r:embed="rId72"/>
                    <a:stretch>
                      <a:fillRect/>
                    </a:stretch>
                  </pic:blipFill>
                  <pic:spPr bwMode="auto">
                    <a:xfrm>
                      <a:off x="0" y="0"/>
                      <a:ext cx="5943600" cy="334505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12.</w:t>
      </w:r>
      <w:r>
        <w:t xml:space="preserve"> </w:t>
      </w:r>
      <w:r>
        <w:t xml:space="preserve">Three rounds of mine-then-retrain that refine the</w:t>
      </w:r>
      <w:r>
        <w:t xml:space="preserve"> </w:t>
      </w:r>
      <w:r>
        <w:rPr>
          <w:b/>
          <w:bCs/>
        </w:rPr>
        <w:t xml:space="preserve">Viability head only</w:t>
      </w:r>
      <w:r>
        <w:t xml:space="preserve"> </w:t>
      </w:r>
      <w:r>
        <w:t xml:space="preserve">of the Figure 11 score model; the denoiser (Figure 9) and LIMO VAE (Figure 7) are frozen. Each round samples, gates with Figure 14 (Filtering), encodes false-positives through frozen LIMO as viab</w:t>
      </w:r>
      <m:oMath>
        <m:r>
          <m:rPr>
            <m:sty m:val="p"/>
          </m:rPr>
          <m:t>=</m:t>
        </m:r>
      </m:oMath>
      <w:r>
        <w:t xml:space="preserve">0 hard negatives, and folds them into the next round's training set (137</w:t>
      </w:r>
      <w:r>
        <w:t xml:space="preserve"> </w:t>
      </w:r>
      <m:oMath>
        <m:r>
          <m:rPr>
            <m:sty m:val="p"/>
          </m:rPr>
          <m:t>→</m:t>
        </m:r>
      </m:oMath>
      <w:r>
        <w:t xml:space="preserve"> </w:t>
      </w:r>
      <w:r>
        <w:t xml:space="preserve">918 negatives). Stopping criterion in Appendix B.1.</w:t>
      </w:r>
    </w:p>
    <w:bookmarkEnd w:id="75"/>
    <w:p>
      <w:pPr>
        <w:pStyle w:val="BodyText"/>
        <w:jc w:val="both"/>
        <w:keepNext w:val="0"/>
        <w:keepLines w:val="0"/>
        <w:widowControl w:val="1"/>
      </w:pPr>
      <w:r>
        <w:t xml:space="preserve">The stopping criterion is shown in the right-margin box of Figure 12: a held-out probe (7 anchors {RDX, HMX, TNT, FOX-7, PETN, TATB, NTO} and 5 cheats) must show every anchor at</w:t>
      </w:r>
      <w:r>
        <w:t xml:space="preserve"> </w:t>
      </w:r>
      <m:oMath>
        <m:r>
          <m:rPr>
            <m:sty m:val="p"/>
          </m:rPr>
          <m:t>≥</m:t>
        </m:r>
      </m:oMath>
      <w:r>
        <w:t xml:space="preserve"> 0.86 AND every cheat at</w:t>
      </w:r>
      <w:r>
        <w:t xml:space="preserve"> </w:t>
      </w:r>
      <m:oMath>
        <m:r>
          <m:rPr>
            <m:sty m:val="p"/>
          </m:rPr>
          <m:t>≤</m:t>
        </m:r>
      </m:oMath>
      <w:r>
        <w:t xml:space="preserve"> 0.84. Empirically 3 rounds satisfy this; round 2 (corpus + 918 hard negatives) is the production checkpoint. Pseudocode in Appendix B.1.</w:t>
      </w:r>
    </w:p>
    <w:bookmarkEnd w:id="76"/>
    <w:bookmarkStart w:id="81" w:name="sampling"/>
    <w:p>
      <w:pPr>
        <w:pStyle w:val="Heading3"/>
        <w:keepNext/>
        <w:keepLines/>
        <w:widowControl w:val="1"/>
      </w:pPr>
      <w:r>
        <w:t xml:space="preserve">4.9 Sampling</w:t>
      </w:r>
    </w:p>
    <w:p>
      <w:pPr>
        <w:pStyle w:val="FirstParagraph"/>
        <w:jc w:val="both"/>
        <w:keepNext w:val="0"/>
        <w:keepLines w:val="0"/>
        <w:widowControl w:val="1"/>
      </w:pPr>
      <w:r>
        <w:t xml:space="preserve">At sample time, three of the six trained heads (Viability, Sensitivity, Hazard) supply gradient steering signals at every DDIM step on top of classifier-free guidance. The denoiser remains the same checkpoint as §4.4; only the sampler changes.</w:t>
      </w:r>
    </w:p>
    <w:p>
      <w:pPr>
        <w:pStyle w:val="BodyText"/>
        <w:jc w:val="both"/>
        <w:keepNext w:val="0"/>
        <w:keepLines w:val="0"/>
        <w:widowControl w:val="1"/>
      </w:pPr>
      <w:r>
        <w:t xml:space="preserve">Figure 13 walks sampling. A latent</w:t>
      </w:r>
      <w:r>
        <w:t xml:space="preserve"> </w:t>
      </w:r>
      <m:oMath>
        <m:sSub>
          <m:e>
            <m:r>
              <m:t>z</m:t>
            </m:r>
          </m:e>
          <m:sub>
            <m:r>
              <m:t>T</m:t>
            </m:r>
          </m:sub>
        </m:sSub>
        <m:r>
          <m:rPr>
            <m:sty m:val="p"/>
          </m:rPr>
          <m:t>∼</m:t>
        </m:r>
        <m:r>
          <m:rPr>
            <m:scr m:val="script"/>
            <m:sty m:val="p"/>
          </m:rPr>
          <m:t>N</m:t>
        </m:r>
        <m:r>
          <m:rPr>
            <m:sty m:val="p"/>
          </m:rPr>
          <m:t>(</m:t>
        </m:r>
        <m:r>
          <m:t>0</m:t>
        </m:r>
        <m:r>
          <m:rPr>
            <m:sty m:val="p"/>
          </m:rPr>
          <m:t>,</m:t>
        </m:r>
        <m:sSub>
          <m:e>
            <m:r>
              <m:t>I</m:t>
            </m:r>
          </m:e>
          <m:sub>
            <m:r>
              <m:t>1024</m:t>
            </m:r>
          </m:sub>
        </m:sSub>
        <m:r>
          <m:rPr>
            <m:sty m:val="p"/>
          </m:rPr>
          <m:t>)</m:t>
        </m:r>
      </m:oMath>
      <w:r>
        <w:t xml:space="preserve"> </w:t>
      </w:r>
      <w:r>
        <w:t xml:space="preserve">is denoised over</w:t>
      </w:r>
      <w:r>
        <w:t xml:space="preserve"> </w:t>
      </w:r>
      <m:oMath>
        <m:r>
          <m:t>t</m:t>
        </m:r>
        <m:r>
          <m:rPr>
            <m:sty m:val="p"/>
          </m:rPr>
          <m:t>=</m:t>
        </m:r>
        <m:r>
          <m:t>T</m:t>
        </m:r>
        <m:r>
          <m:rPr>
            <m:sty m:val="p"/>
          </m:rPr>
          <m:t>→</m:t>
        </m:r>
        <m:r>
          <m:t>1</m:t>
        </m:r>
      </m:oMath>
      <w:r>
        <w:t xml:space="preserve"> </w:t>
      </w:r>
      <w:r>
        <w:t xml:space="preserve">in 40 DDIM steps. At each step,</w:t>
      </w:r>
    </w:p>
    <w:p>
      <w:pPr>
        <w:pStyle w:val="BodyText"/>
      </w:pPr>
      <m:oMathPara>
        <m:oMathParaPr>
          <m:jc m:val="center"/>
        </m:oMathParaPr>
        <m:oMath>
          <m:acc>
            <m:accPr>
              <m:chr m:val="̂"/>
            </m:accPr>
            <m:e>
              <m:r>
                <m:t>ϵ</m:t>
              </m:r>
            </m:e>
          </m:acc>
          <m:r>
            <m:t> </m:t>
          </m:r>
          <m:r>
            <m:rPr>
              <m:sty m:val="p"/>
            </m:rPr>
            <m:t>=</m:t>
          </m:r>
          <m:r>
            <m:t> </m:t>
          </m:r>
          <m:sSubSup>
            <m:e>
              <m:r>
                <m:t>ϵ</m:t>
              </m:r>
            </m:e>
            <m:sub>
              <m:r>
                <m:t>θ</m:t>
              </m:r>
            </m:sub>
            <m:sup>
              <m:r>
                <m:rPr>
                  <m:nor/>
                  <m:sty m:val="p"/>
                </m:rPr>
                <m:t>cfg</m:t>
              </m:r>
            </m:sup>
          </m:sSubSup>
          <m:r>
            <m:rPr>
              <m:sty m:val="p"/>
            </m:rPr>
            <m:t>(</m:t>
          </m:r>
          <m:sSub>
            <m:e>
              <m:r>
                <m:t>z</m:t>
              </m:r>
            </m:e>
            <m:sub>
              <m:r>
                <m:t>t</m:t>
              </m:r>
            </m:sub>
          </m:sSub>
          <m:r>
            <m:rPr>
              <m:sty m:val="p"/>
            </m:rPr>
            <m:t>,</m:t>
          </m:r>
          <m:r>
            <m:t>t</m:t>
          </m:r>
          <m:r>
            <m:rPr>
              <m:sty m:val="p"/>
            </m:rPr>
            <m:t>,</m:t>
          </m:r>
          <m:r>
            <m:t>c</m:t>
          </m:r>
          <m:r>
            <m:rPr>
              <m:sty m:val="p"/>
            </m:rPr>
            <m:t>)</m:t>
          </m:r>
          <m:r>
            <m:t> </m:t>
          </m:r>
          <m:r>
            <m:rPr>
              <m:sty m:val="p"/>
            </m:rPr>
            <m:t>−</m:t>
          </m:r>
          <m:r>
            <m:t> </m:t>
          </m:r>
          <m:sSub>
            <m:e>
              <m:r>
                <m:t>σ</m:t>
              </m:r>
            </m:e>
            <m:sub>
              <m:r>
                <m:t>t</m:t>
              </m:r>
            </m:sub>
          </m:sSub>
          <m:nary>
            <m:naryPr>
              <m:chr m:val="∑"/>
              <m:limLoc m:val="undOvr"/>
              <m:subHide m:val="off"/>
              <m:supHide m:val="on"/>
            </m:naryPr>
            <m:sub>
              <m:r>
                <m:t>h</m:t>
              </m:r>
              <m:r>
                <m:rPr>
                  <m:sty m:val="p"/>
                </m:rPr>
                <m:t>∈</m:t>
              </m:r>
              <m:r>
                <m:rPr>
                  <m:sty m:val="p"/>
                </m:rPr>
                <m:t>{</m:t>
              </m:r>
              <m:r>
                <m:rPr>
                  <m:nor/>
                  <m:sty m:val="p"/>
                </m:rPr>
                <m:t>viab</m:t>
              </m:r>
              <m:r>
                <m:rPr>
                  <m:sty m:val="p"/>
                </m:rPr>
                <m:t>,</m:t>
              </m:r>
              <m:r>
                <m:rPr>
                  <m:nor/>
                  <m:sty m:val="p"/>
                </m:rPr>
                <m:t>sens</m:t>
              </m:r>
              <m:r>
                <m:rPr>
                  <m:sty m:val="p"/>
                </m:rPr>
                <m:t>,</m:t>
              </m:r>
              <m:r>
                <m:rPr>
                  <m:nor/>
                  <m:sty m:val="p"/>
                </m:rPr>
                <m:t>hazard</m:t>
              </m:r>
              <m:r>
                <m:rPr>
                  <m:sty m:val="p"/>
                </m:rPr>
                <m:t>}</m:t>
              </m:r>
            </m:sub>
            <m:sup>
              <m:r>
                <m:t>​</m:t>
              </m:r>
            </m:sup>
            <m:e>
              <m:sSub>
                <m:e>
                  <m:r>
                    <m:t>s</m:t>
                  </m:r>
                </m:e>
                <m:sub>
                  <m:r>
                    <m:t>h</m:t>
                  </m:r>
                </m:sub>
              </m:sSub>
            </m:e>
          </m:nary>
          <m:r>
            <m:t> </m:t>
          </m:r>
          <m:sSub>
            <m:e>
              <m:r>
                <m:rPr>
                  <m:sty m:val="p"/>
                </m:rPr>
                <m:t>∇</m:t>
              </m:r>
            </m:e>
            <m:sub>
              <m:sSub>
                <m:e>
                  <m:r>
                    <m:t>z</m:t>
                  </m:r>
                </m:e>
                <m:sub>
                  <m:r>
                    <m:t>t</m:t>
                  </m:r>
                </m:sub>
              </m:sSub>
            </m:sub>
          </m:sSub>
          <m:r>
            <m:t> </m:t>
          </m:r>
          <m:sSub>
            <m:e>
              <m:r>
                <m:rPr>
                  <m:scr m:val="script"/>
                  <m:sty m:val="p"/>
                </m:rPr>
                <m:t>L</m:t>
              </m:r>
            </m:e>
            <m:sub>
              <m:r>
                <m:t>h</m:t>
              </m:r>
            </m:sub>
          </m:sSub>
          <m:d>
            <m:dPr>
              <m:begChr m:val="("/>
              <m:sepChr m:val=""/>
              <m:endChr m:val=")"/>
              <m:grow/>
            </m:dPr>
            <m:e>
              <m:sSub>
                <m:e>
                  <m:r>
                    <m:t>z</m:t>
                  </m:r>
                </m:e>
                <m:sub>
                  <m:r>
                    <m:t>t</m:t>
                  </m:r>
                </m:sub>
              </m:sSub>
              <m:r>
                <m:rPr>
                  <m:sty m:val="p"/>
                </m:rPr>
                <m:t>,</m:t>
              </m:r>
              <m:sSub>
                <m:e>
                  <m:r>
                    <m:t>σ</m:t>
                  </m:r>
                </m:e>
                <m:sub>
                  <m:r>
                    <m:t>t</m:t>
                  </m:r>
                </m:sub>
              </m:sSub>
            </m:e>
          </m:d>
          <m:r>
            <m:rPr>
              <m:sty m:val="p"/>
            </m:rPr>
            <m:t>,</m:t>
          </m:r>
        </m:oMath>
      </m:oMathPara>
    </w:p>
    <w:p>
      <w:pPr>
        <w:pStyle w:val="FirstParagraph"/>
        <w:jc w:val="both"/>
        <w:keepNext w:val="0"/>
        <w:keepLines w:val="0"/>
        <w:widowControl w:val="1"/>
      </w:pPr>
      <w:r>
        <w:t xml:space="preserve">where</w:t>
      </w:r>
      <w:r>
        <w:t xml:space="preserve"> </w:t>
      </w:r>
      <m:oMath>
        <m:sSubSup>
          <m:e>
            <m:r>
              <m:t>ϵ</m:t>
            </m:r>
          </m:e>
          <m:sub>
            <m:r>
              <m:t>θ</m:t>
            </m:r>
          </m:sub>
          <m:sup>
            <m:r>
              <m:rPr>
                <m:nor/>
                <m:sty m:val="p"/>
              </m:rPr>
              <m:t>cfg</m:t>
            </m:r>
          </m:sup>
        </m:sSubSup>
      </m:oMath>
      <w:r>
        <w:t xml:space="preserve"> </w:t>
      </w:r>
      <w:r>
        <w:t xml:space="preserve">is the standard CFG noise estimate over the frozen denoiser of §4.5 (Figure 9). The per-head losses are</w:t>
      </w:r>
      <w:r>
        <w:t xml:space="preserve"> </w:t>
      </w:r>
      <m:oMath>
        <m:r>
          <m:rPr>
            <m:sty m:val="p"/>
          </m:rPr>
          <m:t>−</m:t>
        </m:r>
        <m:r>
          <m:rPr>
            <m:sty m:val="p"/>
          </m:rPr>
          <m:t>log</m:t>
        </m:r>
        <m:sSub>
          <m:e>
            <m:r>
              <m:t>P</m:t>
            </m:r>
          </m:e>
          <m:sub>
            <m:r>
              <m:rPr>
                <m:nor/>
                <m:sty m:val="p"/>
              </m:rPr>
              <m:t>viab</m:t>
            </m:r>
          </m:sub>
        </m:sSub>
      </m:oMath>
      <w:r>
        <w:t xml:space="preserve"> </w:t>
      </w:r>
      <w:r>
        <w:t xml:space="preserve">(ascend),</w:t>
      </w:r>
      <w:r>
        <w:t xml:space="preserve"> </w:t>
      </w:r>
      <m:oMath>
        <m:sSub>
          <m:e>
            <m:r>
              <m:rPr>
                <m:sty m:val="p"/>
              </m:rPr>
              <m:t>s</m:t>
            </m:r>
            <m:r>
              <m:rPr>
                <m:sty m:val="p"/>
              </m:rPr>
              <m:t>e</m:t>
            </m:r>
            <m:r>
              <m:rPr>
                <m:sty m:val="p"/>
              </m:rPr>
              <m:t>n</m:t>
            </m:r>
            <m:r>
              <m:rPr>
                <m:sty m:val="p"/>
              </m:rPr>
              <m:t>s</m:t>
            </m:r>
          </m:e>
          <m:sub>
            <m:r>
              <m:t>z</m:t>
            </m:r>
          </m:sub>
        </m:sSub>
      </m:oMath>
      <w:r>
        <w:t xml:space="preserve"> </w:t>
      </w:r>
      <w:r>
        <w:t xml:space="preserve">(descend), and</w:t>
      </w:r>
      <w:r>
        <w:t xml:space="preserve"> </w:t>
      </w:r>
      <m:oMath>
        <m:r>
          <m:rPr>
            <m:sty m:val="p"/>
          </m:rPr>
          <m:t>−</m:t>
        </m:r>
        <m:r>
          <m:rPr>
            <m:sty m:val="p"/>
          </m:rPr>
          <m:t>log</m:t>
        </m:r>
        <m:r>
          <m:rPr>
            <m:sty m:val="p"/>
          </m:rPr>
          <m:t>(</m:t>
        </m:r>
        <m:r>
          <m:t>1</m:t>
        </m:r>
        <m:r>
          <m:rPr>
            <m:sty m:val="p"/>
          </m:rPr>
          <m:t>−</m:t>
        </m:r>
        <m:sSub>
          <m:e>
            <m:r>
              <m:t>P</m:t>
            </m:r>
          </m:e>
          <m:sub>
            <m:r>
              <m:rPr>
                <m:nor/>
                <m:sty m:val="p"/>
              </m:rPr>
              <m:t>hazard</m:t>
            </m:r>
          </m:sub>
        </m:sSub>
        <m:r>
          <m:rPr>
            <m:sty m:val="p"/>
          </m:rPr>
          <m:t>)</m:t>
        </m:r>
      </m:oMath>
      <w:r>
        <w:t xml:space="preserve"> </w:t>
      </w:r>
      <w:r>
        <w:t xml:space="preserve">(descend hazard). Production scales are</w:t>
      </w:r>
      <w:r>
        <w:t xml:space="preserve"> </w:t>
      </w:r>
      <m:oMath>
        <m:sSub>
          <m:e>
            <m:r>
              <m:t>s</m:t>
            </m:r>
          </m:e>
          <m:sub>
            <m:r>
              <m:rPr>
                <m:nor/>
                <m:sty m:val="p"/>
              </m:rPr>
              <m:t>viab</m:t>
            </m:r>
          </m:sub>
        </m:sSub>
        <m:r>
          <m:rPr>
            <m:sty m:val="p"/>
          </m:rPr>
          <m:t>=</m:t>
        </m:r>
        <m:r>
          <m:t>1.0</m:t>
        </m:r>
      </m:oMath>
      <w:r>
        <w:t xml:space="preserve">,</w:t>
      </w:r>
      <w:r>
        <w:t xml:space="preserve"> </w:t>
      </w:r>
      <m:oMath>
        <m:sSub>
          <m:e>
            <m:r>
              <m:t>s</m:t>
            </m:r>
          </m:e>
          <m:sub>
            <m:r>
              <m:rPr>
                <m:nor/>
                <m:sty m:val="p"/>
              </m:rPr>
              <m:t>sens</m:t>
            </m:r>
          </m:sub>
        </m:sSub>
        <m:r>
          <m:rPr>
            <m:sty m:val="p"/>
          </m:rPr>
          <m:t>=</m:t>
        </m:r>
        <m:r>
          <m:t>0.3</m:t>
        </m:r>
      </m:oMath>
      <w:r>
        <w:t xml:space="preserve">,</w:t>
      </w:r>
      <w:r>
        <w:t xml:space="preserve"> </w:t>
      </w:r>
      <m:oMath>
        <m:sSub>
          <m:e>
            <m:r>
              <m:t>s</m:t>
            </m:r>
          </m:e>
          <m:sub>
            <m:r>
              <m:rPr>
                <m:nor/>
                <m:sty m:val="p"/>
              </m:rPr>
              <m:t>hazard</m:t>
            </m:r>
          </m:sub>
        </m:sSub>
        <m:r>
          <m:rPr>
            <m:sty m:val="p"/>
          </m:rPr>
          <m:t>=</m:t>
        </m:r>
        <m:r>
          <m:t>1.0</m:t>
        </m:r>
      </m:oMath>
      <w:r>
        <w:t xml:space="preserve"> </w:t>
      </w:r>
      <w:r>
        <w:t xml:space="preserve">(selection rationale in §4.12). The final</w:t>
      </w:r>
      <w:r>
        <w:t xml:space="preserve"> </w:t>
      </w:r>
      <m:oMath>
        <m:sSub>
          <m:e>
            <m:r>
              <m:t>z</m:t>
            </m:r>
          </m:e>
          <m:sub>
            <m:r>
              <m:t>0</m:t>
            </m:r>
          </m:sub>
        </m:sSub>
      </m:oMath>
      <w:r>
        <w:t xml:space="preserve"> </w:t>
      </w:r>
      <w:r>
        <w:t xml:space="preserve">decodes through the frozen LIMO decoder to a SMILES pool consumed by Figure 15.</w:t>
      </w:r>
    </w:p>
    <w:bookmarkStart w:id="80" w:name="fig-13"/>
    <w:p>
      <w:pPr>
        <w:pStyle w:val="BodyText"/>
        <w:jc w:val="center"/>
        <w:keepNext/>
        <w:keepLines/>
        <w:widowControl w:val="1"/>
      </w:pPr>
      <w:r>
        <w:drawing>
          <wp:inline>
            <wp:extent cx="5943600" cy="3343275"/>
            <wp:effectExtent b="0" l="0" r="0" t="0"/>
            <wp:docPr descr="DGLD sampling: DDIM denoise with multi-task steering signals" title="" id="78" name="Picture"/>
            <a:graphic>
              <a:graphicData uri="http://schemas.openxmlformats.org/drawingml/2006/picture">
                <pic:pic>
                  <pic:nvPicPr>
                    <pic:cNvPr descr="figs/fig4c_sampling_guidance.png" id="79" name="Picture"/>
                    <pic:cNvPicPr>
                      <a:picLocks noChangeArrowheads="1" noChangeAspect="1"/>
                    </pic:cNvPicPr>
                  </pic:nvPicPr>
                  <pic:blipFill>
                    <a:blip r:embed="rId77"/>
                    <a:stretch>
                      <a:fillRect/>
                    </a:stretch>
                  </pic:blipFill>
                  <pic:spPr bwMode="auto">
                    <a:xfrm>
                      <a:off x="0" y="0"/>
                      <a:ext cx="5943600" cy="3343275"/>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13.</w:t>
      </w:r>
      <w:r>
        <w:t xml:space="preserve"> </w:t>
      </w:r>
      <w:r>
        <w:t xml:space="preserve">A latent</w:t>
      </w:r>
      <w:r>
        <w:t xml:space="preserve"> </w:t>
      </w:r>
      <m:oMath>
        <m:sSub>
          <m:e>
            <m:r>
              <m:t>z</m:t>
            </m:r>
          </m:e>
          <m:sub>
            <m:r>
              <m:t>T</m:t>
            </m:r>
          </m:sub>
        </m:sSub>
        <m:r>
          <m:rPr>
            <m:sty m:val="p"/>
          </m:rPr>
          <m:t>∼</m:t>
        </m:r>
        <m:r>
          <m:rPr>
            <m:scr m:val="script"/>
            <m:sty m:val="p"/>
          </m:rPr>
          <m:t>N</m:t>
        </m:r>
        <m:r>
          <m:rPr>
            <m:sty m:val="p"/>
          </m:rPr>
          <m:t>(</m:t>
        </m:r>
        <m:r>
          <m:t>0</m:t>
        </m:r>
        <m:r>
          <m:rPr>
            <m:sty m:val="p"/>
          </m:rPr>
          <m:t>,</m:t>
        </m:r>
        <m:sSub>
          <m:e>
            <m:r>
              <m:t>I</m:t>
            </m:r>
          </m:e>
          <m:sub>
            <m:r>
              <m:t>1024</m:t>
            </m:r>
          </m:sub>
        </m:sSub>
        <m:r>
          <m:rPr>
            <m:sty m:val="p"/>
          </m:rPr>
          <m:t>)</m:t>
        </m:r>
      </m:oMath>
      <w:r>
        <w:t xml:space="preserve"> </w:t>
      </w:r>
      <w:r>
        <w:t xml:space="preserve">is denoised over 40 DDIM steps with a steering bus</w:t>
      </w:r>
      <w:r>
        <w:t xml:space="preserve"> </w:t>
      </w:r>
      <m:oMath>
        <m:nary>
          <m:naryPr>
            <m:chr m:val="∑"/>
            <m:limLoc m:val="undOvr"/>
            <m:subHide m:val="off"/>
            <m:supHide m:val="on"/>
          </m:naryPr>
          <m:sub>
            <m:r>
              <m:t>h</m:t>
            </m:r>
            <m:r>
              <m:rPr>
                <m:sty m:val="p"/>
              </m:rPr>
              <m:t>∈</m:t>
            </m:r>
            <m:r>
              <m:rPr>
                <m:sty m:val="p"/>
              </m:rPr>
              <m:t>{</m:t>
            </m:r>
            <m:r>
              <m:rPr>
                <m:nor/>
                <m:sty m:val="p"/>
              </m:rPr>
              <m:t>viab,sens,hazard</m:t>
            </m:r>
            <m:r>
              <m:rPr>
                <m:sty m:val="p"/>
              </m:rPr>
              <m:t>}</m:t>
            </m:r>
          </m:sub>
          <m:sup>
            <m:r>
              <m:t>​</m:t>
            </m:r>
          </m:sup>
          <m:e>
            <m:sSub>
              <m:e>
                <m:r>
                  <m:t>s</m:t>
                </m:r>
              </m:e>
              <m:sub>
                <m:r>
                  <m:t>h</m:t>
                </m:r>
              </m:sub>
            </m:sSub>
          </m:e>
        </m:nary>
        <m:sSub>
          <m:e>
            <m:r>
              <m:rPr>
                <m:sty m:val="p"/>
              </m:rPr>
              <m:t>∇</m:t>
            </m:r>
          </m:e>
          <m:sub>
            <m:sSub>
              <m:e>
                <m:r>
                  <m:t>z</m:t>
                </m:r>
              </m:e>
              <m:sub>
                <m:r>
                  <m:t>t</m:t>
                </m:r>
              </m:sub>
            </m:sSub>
          </m:sub>
        </m:sSub>
        <m:r>
          <m:rPr>
            <m:sty m:val="p"/>
          </m:rPr>
          <m:t>log</m:t>
        </m:r>
        <m:sSub>
          <m:e>
            <m:r>
              <m:t>p</m:t>
            </m:r>
          </m:e>
          <m:sub>
            <m:r>
              <m:t>h</m:t>
            </m:r>
          </m:sub>
        </m:sSub>
      </m:oMath>
      <w:r>
        <w:t xml:space="preserve"> </w:t>
      </w:r>
      <w:r>
        <w:t xml:space="preserve">over the three active steering signals of Figure 11 perturbing</w:t>
      </w:r>
      <w:r>
        <w:t xml:space="preserve"> </w:t>
      </w:r>
      <m:oMath>
        <m:sSub>
          <m:e>
            <m:r>
              <m:t>ε</m:t>
            </m:r>
          </m:e>
          <m:sub>
            <m:r>
              <m:t>θ</m:t>
            </m:r>
          </m:sub>
        </m:sSub>
      </m:oMath>
      <w:r>
        <w:t xml:space="preserve"> </w:t>
      </w:r>
      <w:r>
        <w:t xml:space="preserve">at every step. The final</w:t>
      </w:r>
      <w:r>
        <w:t xml:space="preserve"> </w:t>
      </w:r>
      <m:oMath>
        <m:sSub>
          <m:e>
            <m:r>
              <m:t>z</m:t>
            </m:r>
          </m:e>
          <m:sub>
            <m:r>
              <m:t>0</m:t>
            </m:r>
          </m:sub>
        </m:sSub>
      </m:oMath>
      <w:r>
        <w:t xml:space="preserve"> </w:t>
      </w:r>
      <w:r>
        <w:t xml:space="preserve">decodes through frozen LIMO to a SMILES pool consumed by Figure 15 (Pool fusion). Per-head scales</w:t>
      </w:r>
      <w:r>
        <w:t xml:space="preserve"> </w:t>
      </w:r>
      <m:oMath>
        <m:sSub>
          <m:e>
            <m:r>
              <m:t>s</m:t>
            </m:r>
          </m:e>
          <m:sub>
            <m:r>
              <m:t>h</m:t>
            </m:r>
          </m:sub>
        </m:sSub>
      </m:oMath>
      <w:r>
        <w:t xml:space="preserve"> </w:t>
      </w:r>
      <w:r>
        <w:t xml:space="preserve">in Appendix B.</w:t>
      </w:r>
    </w:p>
    <w:bookmarkEnd w:id="80"/>
    <w:p>
      <w:pPr>
        <w:pStyle w:val="BodyText"/>
        <w:jc w:val="both"/>
        <w:keepNext w:val="0"/>
        <w:keepLines w:val="0"/>
        <w:widowControl w:val="1"/>
      </w:pPr>
      <w:r>
        <w:t xml:space="preserve">The classifier-guidance steering bus uses two configurable knobs: a noise-dependent annealing factor</w:t>
      </w:r>
      <w:r>
        <w:t xml:space="preserve"> </w:t>
      </w:r>
      <m:oMath>
        <m:r>
          <m:t>α</m:t>
        </m:r>
        <m:r>
          <m:rPr>
            <m:sty m:val="p"/>
          </m:rPr>
          <m:t>(</m:t>
        </m:r>
        <m:sSub>
          <m:e>
            <m:r>
              <m:t>σ</m:t>
            </m:r>
          </m:e>
          <m:sub>
            <m:r>
              <m:t>t</m:t>
            </m:r>
          </m:sub>
        </m:sSub>
        <m:r>
          <m:rPr>
            <m:sty m:val="p"/>
          </m:rPr>
          <m:t>)</m:t>
        </m:r>
        <m:r>
          <m:rPr>
            <m:sty m:val="p"/>
          </m:rPr>
          <m:t>=</m:t>
        </m:r>
        <m:r>
          <m:rPr>
            <m:sty m:val="p"/>
          </m:rPr>
          <m:t>max</m:t>
        </m:r>
        <m:r>
          <m:rPr>
            <m:sty m:val="p"/>
          </m:rPr>
          <m:t>(</m:t>
        </m:r>
        <m:r>
          <m:t>0</m:t>
        </m:r>
        <m:r>
          <m:rPr>
            <m:sty m:val="p"/>
          </m:rPr>
          <m:t>,</m:t>
        </m:r>
        <m:r>
          <m:t> </m:t>
        </m:r>
        <m:r>
          <m:t>1</m:t>
        </m:r>
        <m:r>
          <m:rPr>
            <m:sty m:val="p"/>
          </m:rPr>
          <m:t>−</m:t>
        </m:r>
        <m:sSub>
          <m:e>
            <m:r>
              <m:t>σ</m:t>
            </m:r>
          </m:e>
          <m:sub>
            <m:r>
              <m:t>t</m:t>
            </m:r>
          </m:sub>
        </m:sSub>
        <m:r>
          <m:rPr>
            <m:sty m:val="p"/>
          </m:rPr>
          <m:t>/</m:t>
        </m:r>
        <m:sSub>
          <m:e>
            <m:r>
              <m:t>σ</m:t>
            </m:r>
          </m:e>
          <m:sub>
            <m:r>
              <m:rPr>
                <m:sty m:val="p"/>
              </m:rPr>
              <m:t>max</m:t>
            </m:r>
          </m:sub>
        </m:sSub>
        <m:r>
          <m:rPr>
            <m:sty m:val="p"/>
          </m:rPr>
          <m:t>)</m:t>
        </m:r>
      </m:oMath>
      <w:r>
        <w:t xml:space="preserve"> </w:t>
      </w:r>
      <w:r>
        <w:t xml:space="preserve">that scales the bus down at high noise levels (where the score-model heads have not yet seen enough latent structure to be reliable), and a per-row gradient-norm clamp at magnitude</w:t>
      </w:r>
      <w:r>
        <w:t xml:space="preserve"> </w:t>
      </w:r>
      <m:oMath>
        <m:sSub>
          <m:e>
            <m:r>
              <m:t>C</m:t>
            </m:r>
          </m:e>
          <m:sub>
            <m:r>
              <m:t>g</m:t>
            </m:r>
          </m:sub>
        </m:sSub>
      </m:oMath>
      <w:r>
        <w:t xml:space="preserve"> </w:t>
      </w:r>
      <w:r>
        <w:t xml:space="preserve">(gradient clamp) that prevents a single row from dominating the batch. The image-domain classifier-guidance recipe of Dhariwal &amp; Nichol</w:t>
      </w:r>
      <w:r>
        <w:t xml:space="preserve"> </w:t>
      </w:r>
      <w:hyperlink w:anchor="ref-dhariwal2021diffusion">
        <w:r>
          <w:rPr>
            <w:rStyle w:val="Hyperlink"/>
          </w:rPr>
          <w:t xml:space="preserve">[15a]</w:t>
        </w:r>
      </w:hyperlink>
      <w:r>
        <w:t xml:space="preserve"> </w:t>
      </w:r>
      <w:r>
        <w:t xml:space="preserve">uses</w:t>
      </w:r>
      <w:r>
        <w:t xml:space="preserve"> </w:t>
      </w:r>
      <m:oMath>
        <m:sSub>
          <m:e>
            <m:r>
              <m:t>σ</m:t>
            </m:r>
          </m:e>
          <m:sub>
            <m:r>
              <m:rPr>
                <m:sty m:val="p"/>
              </m:rPr>
              <m:t>max</m:t>
            </m:r>
          </m:sub>
        </m:sSub>
        <m:r>
          <m:rPr>
            <m:sty m:val="p"/>
          </m:rPr>
          <m:t>=</m:t>
        </m:r>
        <m:sSub>
          <m:e>
            <m:r>
              <m:t>σ</m:t>
            </m:r>
          </m:e>
          <m:sub>
            <m:r>
              <m:t>T</m:t>
            </m:r>
          </m:sub>
        </m:sSub>
      </m:oMath>
      <w:r>
        <w:t xml:space="preserve"> </w:t>
      </w:r>
      <w:r>
        <w:t xml:space="preserve">(full ramp on) and</w:t>
      </w:r>
      <w:r>
        <w:t xml:space="preserve"> </w:t>
      </w:r>
      <m:oMath>
        <m:sSub>
          <m:e>
            <m:r>
              <m:t>C</m:t>
            </m:r>
          </m:e>
          <m:sub>
            <m:r>
              <m:t>g</m:t>
            </m:r>
          </m:sub>
        </m:sSub>
        <m:r>
          <m:rPr>
            <m:sty m:val="p"/>
          </m:rPr>
          <m:t>=</m:t>
        </m:r>
        <m:r>
          <m:t>5.0</m:t>
        </m:r>
      </m:oMath>
      <w:r>
        <w:t xml:space="preserve">; this works well at 1000 sampling steps, where each step covers a small</w:t>
      </w:r>
      <w:r>
        <w:t xml:space="preserve"> </w:t>
      </w:r>
      <m:oMath>
        <m:r>
          <m:t>σ</m:t>
        </m:r>
      </m:oMath>
      <w:r>
        <w:t xml:space="preserve">-jump and the natural per-row gradient magnitudes sit well below 5. In the 40-step latent regime the same recipe zeroes the bus at the top of the trajectory (the first</w:t>
      </w:r>
      <w:r>
        <w:t xml:space="preserve"> </w:t>
      </w:r>
      <m:oMath>
        <m:r>
          <m:rPr>
            <m:sty m:val="p"/>
          </m:rPr>
          <m:t>∼</m:t>
        </m:r>
      </m:oMath>
      <w:r>
        <w:t xml:space="preserve">10 steps live near</w:t>
      </w:r>
      <w:r>
        <w:t xml:space="preserve"> </w:t>
      </w:r>
      <m:oMath>
        <m:sSub>
          <m:e>
            <m:r>
              <m:t>σ</m:t>
            </m:r>
          </m:e>
          <m:sub>
            <m:r>
              <m:t>t</m:t>
            </m:r>
          </m:sub>
        </m:sSub>
        <m:r>
          <m:rPr>
            <m:sty m:val="p"/>
          </m:rPr>
          <m:t>≈</m:t>
        </m:r>
        <m:sSub>
          <m:e>
            <m:r>
              <m:t>σ</m:t>
            </m:r>
          </m:e>
          <m:sub>
            <m:r>
              <m:t>T</m:t>
            </m:r>
          </m:sub>
        </m:sSub>
      </m:oMath>
      <w:r>
        <w:t xml:space="preserve">) and saturates the clamp at the bottom (natural gradient magnitudes at low</w:t>
      </w:r>
      <w:r>
        <w:t xml:space="preserve"> </w:t>
      </w:r>
      <m:oMath>
        <m:r>
          <m:t>σ</m:t>
        </m:r>
      </m:oMath>
      <w:r>
        <w:t xml:space="preserve"> </w:t>
      </w:r>
      <w:r>
        <w:t xml:space="preserve">are 8–30, well above 5), so the per-head scales</w:t>
      </w:r>
      <w:r>
        <w:t xml:space="preserve"> </w:t>
      </w:r>
      <m:oMath>
        <m:sSub>
          <m:e>
            <m:r>
              <m:t>s</m:t>
            </m:r>
          </m:e>
          <m:sub>
            <m:r>
              <m:t>h</m:t>
            </m:r>
          </m:sub>
        </m:sSub>
      </m:oMath>
      <w:r>
        <w:t xml:space="preserve"> </w:t>
      </w:r>
      <w:r>
        <w:t xml:space="preserve">have negligible effect on the produced chemistry. Production disables the anneal by setting</w:t>
      </w:r>
      <w:r>
        <w:t xml:space="preserve"> </w:t>
      </w:r>
      <m:oMath>
        <m:r>
          <m:t>α</m:t>
        </m:r>
        <m:r>
          <m:rPr>
            <m:sty m:val="p"/>
          </m:rPr>
          <m:t>≡</m:t>
        </m:r>
        <m:r>
          <m:t>1</m:t>
        </m:r>
      </m:oMath>
      <w:r>
        <w:t xml:space="preserve"> </w:t>
      </w:r>
      <w:r>
        <w:t xml:space="preserve">directly (equivalent to the</w:t>
      </w:r>
      <w:r>
        <w:t xml:space="preserve"> </w:t>
      </w:r>
      <m:oMath>
        <m:sSub>
          <m:e>
            <m:r>
              <m:t>σ</m:t>
            </m:r>
          </m:e>
          <m:sub>
            <m:r>
              <m:rPr>
                <m:sty m:val="p"/>
              </m:rPr>
              <m:t>max</m:t>
            </m:r>
          </m:sub>
        </m:sSub>
        <m:r>
          <m:rPr>
            <m:sty m:val="p"/>
          </m:rPr>
          <m:t>→</m:t>
        </m:r>
        <m:r>
          <m:rPr>
            <m:sty m:val="p"/>
          </m:rPr>
          <m:t>∞</m:t>
        </m:r>
      </m:oMath>
      <w:r>
        <w:t xml:space="preserve"> </w:t>
      </w:r>
      <w:r>
        <w:t xml:space="preserve">limit of the schedule above; we configure this via a guard clause on</w:t>
      </w:r>
      <w:r>
        <w:t xml:space="preserve"> </w:t>
      </w:r>
      <m:oMath>
        <m:sSub>
          <m:e>
            <m:r>
              <m:t>σ</m:t>
            </m:r>
          </m:e>
          <m:sub>
            <m:r>
              <m:rPr>
                <m:sty m:val="p"/>
              </m:rPr>
              <m:t>max</m:t>
            </m:r>
          </m:sub>
        </m:sSub>
        <m:r>
          <m:rPr>
            <m:sty m:val="p"/>
          </m:rPr>
          <m:t>=</m:t>
        </m:r>
        <m:r>
          <m:t>0</m:t>
        </m:r>
      </m:oMath>
      <w:r>
        <w:t xml:space="preserve"> </w:t>
      </w:r>
      <w:r>
        <w:t xml:space="preserve">in code, treating it as the no-anneal sentinel) and loosens the clamp (</w:t>
      </w:r>
      <m:oMath>
        <m:sSub>
          <m:e>
            <m:r>
              <m:t>C</m:t>
            </m:r>
          </m:e>
          <m:sub>
            <m:r>
              <m:t>g</m:t>
            </m:r>
          </m:sub>
        </m:sSub>
        <m:r>
          <m:rPr>
            <m:sty m:val="p"/>
          </m:rPr>
          <m:t>=</m:t>
        </m:r>
        <m:r>
          <m:t>50</m:t>
        </m:r>
      </m:oMath>
      <w:r>
        <w:t xml:space="preserve">). The four-test diagnostic that mapped per-step gradient norms across both configurations is in Appendix D.5. The CFG scale</w:t>
      </w:r>
      <w:r>
        <w:t xml:space="preserve"> </w:t>
      </w:r>
      <m:oMath>
        <m:r>
          <m:t>w</m:t>
        </m:r>
      </m:oMath>
      <w:r>
        <w:t xml:space="preserve"> </w:t>
      </w:r>
      <w:r>
        <w:t xml:space="preserve">is selected from the §4.12 sweep (Figure 16,</w:t>
      </w:r>
      <w:r>
        <w:t xml:space="preserve"> </w:t>
      </w:r>
      <m:oMath>
        <m:r>
          <m:t>w</m:t>
        </m:r>
        <m:r>
          <m:rPr>
            <m:sty m:val="p"/>
          </m:rPr>
          <m:t>∈</m:t>
        </m:r>
        <m:r>
          <m:rPr>
            <m:sty m:val="p"/>
          </m:rPr>
          <m:t>{</m:t>
        </m:r>
        <m:r>
          <m:t>5</m:t>
        </m:r>
        <m:r>
          <m:rPr>
            <m:sty m:val="p"/>
          </m:rPr>
          <m:t>,</m:t>
        </m:r>
        <m:r>
          <m:t>7</m:t>
        </m:r>
        <m:r>
          <m:rPr>
            <m:sty m:val="p"/>
          </m:rPr>
          <m:t>,</m:t>
        </m:r>
        <m:r>
          <m:t>9</m:t>
        </m:r>
        <m:r>
          <m:rPr>
            <m:sty m:val="p"/>
          </m:rPr>
          <m:t>}</m:t>
        </m:r>
      </m:oMath>
      <w:r>
        <w:t xml:space="preserve"> </w:t>
      </w:r>
      <w:r>
        <w:t xml:space="preserve">at pool=8k); per-property quantile-error breakdown is in Appendix D.8.</w:t>
      </w:r>
    </w:p>
    <w:bookmarkEnd w:id="81"/>
    <w:bookmarkStart w:id="86" w:name="filtering"/>
    <w:p>
      <w:pPr>
        <w:pStyle w:val="Heading3"/>
        <w:keepNext/>
        <w:keepLines/>
        <w:widowControl w:val="1"/>
      </w:pPr>
      <w:r>
        <w:t xml:space="preserve">4.10 Filtering</w:t>
      </w:r>
    </w:p>
    <w:p>
      <w:pPr>
        <w:pStyle w:val="FirstParagraph"/>
        <w:jc w:val="both"/>
        <w:keepNext w:val="0"/>
        <w:keepLines w:val="0"/>
        <w:widowControl w:val="1"/>
      </w:pPr>
      <w:r>
        <w:t xml:space="preserve">The decoded SMILES pool flows through a four-stage funnel that progressively raises the bar from cheap chemistry rules (SMARTS gate) to expensive first-principles audits (DFT). Stages 1+2 (ms cost per candidate) score every candidate; Stages 3+4 (CPU- and GPU-hours per candidate) run only on the top-K survivors.</w:t>
      </w:r>
    </w:p>
    <w:p>
      <w:pPr>
        <w:pStyle w:val="BodyText"/>
        <w:jc w:val="both"/>
        <w:keepNext w:val="0"/>
        <w:keepLines w:val="0"/>
        <w:widowControl w:val="1"/>
      </w:pPr>
      <w:r>
        <w:t xml:space="preserve">Figure 14 walks the four-stage filtering funnel. Each pool is canonicalised, deduplicated, and stripped of charged species and over-large molecules.</w:t>
      </w:r>
      <w:r>
        <w:t xml:space="preserve"> </w:t>
      </w:r>
      <w:r>
        <w:rPr>
          <w:b/>
          <w:bCs/>
        </w:rPr>
        <w:t xml:space="preserve">Stage 1: SMARTS gate (rules + redflags).</w:t>
      </w:r>
      <w:r>
        <w:t xml:space="preserve"> </w:t>
      </w:r>
      <w:r>
        <w:t xml:space="preserve">A chemist-curated SMARTS</w:t>
      </w:r>
      <w:r>
        <w:t xml:space="preserve"> </w:t>
      </w:r>
      <w:hyperlink w:anchor="ref-daylight-smarts">
        <w:r>
          <w:rPr>
            <w:rStyle w:val="Hyperlink"/>
          </w:rPr>
          <w:t xml:space="preserve">[daylight-smarts]</w:t>
        </w:r>
      </w:hyperlink>
      <w:r>
        <w:t xml:space="preserve"> </w:t>
      </w:r>
      <w:r>
        <w:t xml:space="preserve">catalog removes radicals, sulphur, halogens, mixed valence states, and other red flags; survivors are scored by the 3D-CNN smoke ensemble. SA</w:t>
      </w:r>
      <w:r>
        <w:t xml:space="preserve"> </w:t>
      </w:r>
      <w:hyperlink w:anchor="ref-ertl2009sa">
        <w:r>
          <w:rPr>
            <w:rStyle w:val="Hyperlink"/>
          </w:rPr>
          <w:t xml:space="preserve">[19]</w:t>
        </w:r>
      </w:hyperlink>
      <w:r>
        <w:t xml:space="preserve"> </w:t>
      </w:r>
      <m:oMath>
        <m:r>
          <m:rPr>
            <m:sty m:val="p"/>
          </m:rPr>
          <m:t>≤</m:t>
        </m:r>
      </m:oMath>
      <w:r>
        <w:t xml:space="preserve"> 5.0 and SCScore</w:t>
      </w:r>
      <w:r>
        <w:t xml:space="preserve"> </w:t>
      </w:r>
      <w:hyperlink w:anchor="ref-coley2018scscore">
        <w:r>
          <w:rPr>
            <w:rStyle w:val="Hyperlink"/>
          </w:rPr>
          <w:t xml:space="preserve">[20]</w:t>
        </w:r>
      </w:hyperlink>
      <w:r>
        <w:t xml:space="preserve"> </w:t>
      </w:r>
      <m:oMath>
        <m:r>
          <m:rPr>
            <m:sty m:val="p"/>
          </m:rPr>
          <m:t>≤</m:t>
        </m:r>
      </m:oMath>
      <w:r>
        <w:t xml:space="preserve"> 3.5 caps are applied. Tanimoto similarity to the nearest training-set neighbour is required to lie within</w:t>
      </w:r>
      <w:r>
        <w:t xml:space="preserve"> </w:t>
      </w:r>
      <m:oMath>
        <m:r>
          <m:rPr>
            <m:sty m:val="p"/>
          </m:rPr>
          <m:t>[</m:t>
        </m:r>
        <m:r>
          <m:t>0.20</m:t>
        </m:r>
        <m:r>
          <m:rPr>
            <m:sty m:val="p"/>
          </m:rPr>
          <m:t>,</m:t>
        </m:r>
        <m:r>
          <m:t>0.55</m:t>
        </m:r>
        <m:r>
          <m:rPr>
            <m:sty m:val="p"/>
          </m:rPr>
          <m:t>]</m:t>
        </m:r>
      </m:oMath>
      <w:r>
        <w:t xml:space="preserve">.</w:t>
      </w:r>
      <w:r>
        <w:t xml:space="preserve"> </w:t>
      </w:r>
      <w:r>
        <w:rPr>
          <w:b/>
          <w:bCs/>
        </w:rPr>
        <w:t xml:space="preserve">Stage 2: Pareto reranker.</w:t>
      </w:r>
      <w:r>
        <w:t xml:space="preserve"> </w:t>
      </w:r>
      <w:r>
        <w:t xml:space="preserve">The composite</w:t>
      </w:r>
    </w:p>
    <w:p>
      <w:pPr>
        <w:pStyle w:val="BodyText"/>
      </w:pPr>
      <m:oMathPara>
        <m:oMathParaPr>
          <m:jc m:val="center"/>
        </m:oMathParaPr>
        <m:oMath>
          <m:r>
            <m:t>S</m:t>
          </m:r>
          <m:r>
            <m:rPr>
              <m:sty m:val="p"/>
            </m:rPr>
            <m:t>(</m:t>
          </m:r>
          <m:r>
            <m:t>x</m:t>
          </m:r>
          <m:r>
            <m:rPr>
              <m:sty m:val="p"/>
            </m:rPr>
            <m:t>)</m:t>
          </m:r>
          <m:r>
            <m:t> </m:t>
          </m:r>
          <m:r>
            <m:rPr>
              <m:sty m:val="p"/>
            </m:rPr>
            <m:t>=</m:t>
          </m:r>
          <m:r>
            <m:t> </m:t>
          </m:r>
          <m:r>
            <m:t>0.45</m:t>
          </m:r>
          <m:r>
            <m:t> </m:t>
          </m:r>
          <m:sSubSup>
            <m:e>
              <m:r>
                <m:t>S</m:t>
              </m:r>
            </m:e>
            <m:sub>
              <m:r>
                <m:rPr>
                  <m:nor/>
                  <m:sty m:val="p"/>
                </m:rPr>
                <m:t>perf</m:t>
              </m:r>
            </m:sub>
            <m:sup>
              <m:r>
                <m:rPr>
                  <m:nor/>
                  <m:sty m:val="p"/>
                </m:rPr>
                <m:t>band</m:t>
              </m:r>
            </m:sup>
          </m:sSubSup>
          <m:r>
            <m:rPr>
              <m:sty m:val="p"/>
            </m:rPr>
            <m:t>(</m:t>
          </m:r>
          <m:r>
            <m:t>x</m:t>
          </m:r>
          <m:r>
            <m:rPr>
              <m:sty m:val="p"/>
            </m:rPr>
            <m:t>)</m:t>
          </m:r>
          <m:r>
            <m:rPr>
              <m:sty m:val="p"/>
            </m:rPr>
            <m:t>+</m:t>
          </m:r>
          <m:r>
            <m:t>0.20</m:t>
          </m:r>
          <m:r>
            <m:t> </m:t>
          </m:r>
          <m:sSub>
            <m:e>
              <m:r>
                <m:t>S</m:t>
              </m:r>
            </m:e>
            <m:sub>
              <m:r>
                <m:rPr>
                  <m:nor/>
                  <m:sty m:val="p"/>
                </m:rPr>
                <m:t>viab</m:t>
              </m:r>
            </m:sub>
          </m:sSub>
          <m:r>
            <m:rPr>
              <m:sty m:val="p"/>
            </m:rPr>
            <m:t>(</m:t>
          </m:r>
          <m:r>
            <m:t>x</m:t>
          </m:r>
          <m:r>
            <m:rPr>
              <m:sty m:val="p"/>
            </m:rPr>
            <m:t>)</m:t>
          </m:r>
          <m:r>
            <m:rPr>
              <m:sty m:val="p"/>
            </m:rPr>
            <m:t>+</m:t>
          </m:r>
          <m:r>
            <m:t>0.15</m:t>
          </m:r>
          <m:r>
            <m:t> </m:t>
          </m:r>
          <m:sSub>
            <m:e>
              <m:r>
                <m:t>S</m:t>
              </m:r>
            </m:e>
            <m:sub>
              <m:r>
                <m:rPr>
                  <m:nor/>
                  <m:sty m:val="p"/>
                </m:rPr>
                <m:t>novel</m:t>
              </m:r>
            </m:sub>
          </m:sSub>
          <m:r>
            <m:rPr>
              <m:sty m:val="p"/>
            </m:rPr>
            <m:t>(</m:t>
          </m:r>
          <m:r>
            <m:t>x</m:t>
          </m:r>
          <m:r>
            <m:rPr>
              <m:sty m:val="p"/>
            </m:rPr>
            <m:t>)</m:t>
          </m:r>
          <m:r>
            <m:rPr>
              <m:sty m:val="p"/>
            </m:rPr>
            <m:t>+</m:t>
          </m:r>
          <m:r>
            <m:t>0.20</m:t>
          </m:r>
          <m:r>
            <m:t> </m:t>
          </m:r>
          <m:r>
            <m:rPr>
              <m:sty m:val="p"/>
            </m:rPr>
            <m:t>(</m:t>
          </m:r>
          <m:r>
            <m:t>1</m:t>
          </m:r>
          <m:r>
            <m:rPr>
              <m:sty m:val="p"/>
            </m:rPr>
            <m:t>−</m:t>
          </m:r>
          <m:sSub>
            <m:e>
              <m:r>
                <m:t>S</m:t>
              </m:r>
            </m:e>
            <m:sub>
              <m:r>
                <m:rPr>
                  <m:nor/>
                  <m:sty m:val="p"/>
                </m:rPr>
                <m:t>sens</m:t>
              </m:r>
            </m:sub>
          </m:sSub>
          <m:r>
            <m:rPr>
              <m:sty m:val="p"/>
            </m:rPr>
            <m:t>(</m:t>
          </m:r>
          <m:r>
            <m:t>x</m:t>
          </m:r>
          <m:r>
            <m:rPr>
              <m:sty m:val="p"/>
            </m:rPr>
            <m:t>)</m:t>
          </m:r>
          <m:r>
            <m:rPr>
              <m:sty m:val="p"/>
            </m:rPr>
            <m:t>)</m:t>
          </m:r>
          <m:r>
            <m:rPr>
              <m:sty m:val="p"/>
            </m:rPr>
            <m:t>−</m:t>
          </m:r>
          <m:r>
            <m:t>0.10</m:t>
          </m:r>
          <m:r>
            <m:t> </m:t>
          </m:r>
          <m:sSub>
            <m:e>
              <m:r>
                <m:t>S</m:t>
              </m:r>
            </m:e>
            <m:sub>
              <m:r>
                <m:rPr>
                  <m:nor/>
                  <m:sty m:val="p"/>
                </m:rPr>
                <m:t>alerts</m:t>
              </m:r>
            </m:sub>
          </m:sSub>
          <m:r>
            <m:rPr>
              <m:sty m:val="p"/>
            </m:rPr>
            <m:t>(</m:t>
          </m:r>
          <m:r>
            <m:t>x</m:t>
          </m:r>
          <m:r>
            <m:rPr>
              <m:sty m:val="p"/>
            </m:rPr>
            <m:t>)</m:t>
          </m:r>
        </m:oMath>
      </m:oMathPara>
    </w:p>
    <w:p>
      <w:pPr>
        <w:pStyle w:val="FirstParagraph"/>
        <w:jc w:val="both"/>
        <w:keepNext w:val="0"/>
        <w:keepLines w:val="0"/>
        <w:widowControl w:val="1"/>
      </w:pPr>
      <w:r>
        <w:t xml:space="preserve">is computed, then a Pareto front over (</w:t>
      </w:r>
      <m:oMath>
        <m:r>
          <m:rPr>
            <m:sty m:val="p"/>
          </m:rPr>
          <m:t>−</m:t>
        </m:r>
      </m:oMath>
      <w:r>
        <w:t xml:space="preserve">perf,</w:t>
      </w:r>
      <w:r>
        <w:t xml:space="preserve"> </w:t>
      </w:r>
      <m:oMath>
        <m:r>
          <m:rPr>
            <m:sty m:val="p"/>
          </m:rPr>
          <m:t>−</m:t>
        </m:r>
      </m:oMath>
      <w:r>
        <w:t xml:space="preserve">viab, sens, alerts) is used as the outer stratifier with the composite as within-stratum tiebreak. Default top-</w:t>
      </w:r>
      <m:oMath>
        <m:r>
          <m:t>K</m:t>
        </m:r>
        <m:r>
          <m:rPr>
            <m:sty m:val="p"/>
          </m:rPr>
          <m:t>=</m:t>
        </m:r>
        <m:r>
          <m:t>100</m:t>
        </m:r>
      </m:oMath>
      <w:r>
        <w:t xml:space="preserve">. The Stage-2 reranker draws property scores (</w:t>
      </w:r>
      <m:oMath>
        <m:r>
          <m:t>ρ</m:t>
        </m:r>
        <m:r>
          <m:rPr>
            <m:sty m:val="p"/>
          </m:rPr>
          <m:t>,</m:t>
        </m:r>
        <m:r>
          <m:t>D</m:t>
        </m:r>
        <m:r>
          <m:rPr>
            <m:sty m:val="p"/>
          </m:rPr>
          <m:t>,</m:t>
        </m:r>
        <m:r>
          <m:t>P</m:t>
        </m:r>
        <m:r>
          <m:rPr>
            <m:sty m:val="p"/>
          </m:rPr>
          <m:t>,</m:t>
        </m:r>
        <m:r>
          <m:rPr>
            <m:sty m:val="p"/>
          </m:rPr>
          <m:t>H</m:t>
        </m:r>
        <m:r>
          <m:rPr>
            <m:sty m:val="p"/>
          </m:rPr>
          <m:t>O</m:t>
        </m:r>
        <m:r>
          <m:rPr>
            <m:sty m:val="p"/>
          </m:rPr>
          <m:t>F</m:t>
        </m:r>
      </m:oMath>
      <w:r>
        <w:t xml:space="preserve">) from the 3D-CNN smoke ensemble (via</w:t>
      </w:r>
      <w:r>
        <w:t xml:space="preserve"> </w:t>
      </w:r>
      <w:r>
        <w:rPr>
          <w:rStyle w:val="VerbatimChar"/>
        </w:rPr>
        <w:t xml:space="preserve">evaluate_candidates.py</w:t>
      </w:r>
      <w:r>
        <w:t xml:space="preserve"> </w:t>
      </w:r>
      <w:r>
        <w:t xml:space="preserve">+</w:t>
      </w:r>
      <w:r>
        <w:t xml:space="preserve"> </w:t>
      </w:r>
      <w:r>
        <w:rPr>
          <w:rStyle w:val="VerbatimChar"/>
        </w:rPr>
        <w:t xml:space="preserve">rerank_v2.py</w:t>
      </w:r>
      <w:r>
        <w:t xml:space="preserve">),</w:t>
      </w:r>
      <w:r>
        <w:t xml:space="preserve"> </w:t>
      </w:r>
      <w:r>
        <w:rPr>
          <w:i/>
          <w:iCs/>
        </w:rPr>
        <w:t xml:space="preserve">not</w:t>
      </w:r>
      <w:r>
        <w:t xml:space="preserve"> </w:t>
      </w:r>
      <w:r>
        <w:t xml:space="preserve">from the latent Performance head; the latent Performance head trains as a multi-task auxiliary on the shared trunk for regularisation only and is not invoked at rerank time.</w:t>
      </w:r>
      <w:r>
        <w:t xml:space="preserve"> </w:t>
      </w:r>
      <w:r>
        <w:rPr>
          <w:b/>
          <w:bCs/>
        </w:rPr>
        <w:t xml:space="preserve">Stage 3: xTB triage.</w:t>
      </w:r>
      <w:r>
        <w:t xml:space="preserve"> </w:t>
      </w:r>
      <w:r>
        <w:t xml:space="preserve">GFN2-xTB optimisation, HOMO–LUMO gap</w:t>
      </w:r>
      <w:r>
        <w:t xml:space="preserve"> </w:t>
      </w:r>
      <m:oMath>
        <m:r>
          <m:rPr>
            <m:sty m:val="p"/>
          </m:rPr>
          <m:t>≥</m:t>
        </m:r>
      </m:oMath>
      <w:r>
        <w:t xml:space="preserve"> 1.5 eV (§5.3).</w:t>
      </w:r>
      <w:r>
        <w:t xml:space="preserve"> </w:t>
      </w:r>
      <w:r>
        <w:rPr>
          <w:b/>
          <w:bCs/>
        </w:rPr>
        <w:t xml:space="preserve">Stage 4: DFT audit.</w:t>
      </w:r>
      <w:r>
        <w:t xml:space="preserve"> </w:t>
      </w:r>
      <w:r>
        <w:t xml:space="preserve">B3LYP/6-31G(d) optimisation +</w:t>
      </w:r>
      <w:r>
        <w:t xml:space="preserve"> </w:t>
      </w:r>
      <m:oMath>
        <m:r>
          <m:t>ω</m:t>
        </m:r>
      </m:oMath>
      <w:r>
        <w:t xml:space="preserve">B97X-D3BJ/def2-TZVP single-point + 6-anchor calibration + Kamlet–Jacobs (§5.3). Illustrative survivors at the §5 production setting: pool=40k</w:t>
      </w:r>
      <w:r>
        <w:t xml:space="preserve"> </w:t>
      </w:r>
      <m:oMath>
        <m:r>
          <m:rPr>
            <m:sty m:val="p"/>
          </m:rPr>
          <m:t>→</m:t>
        </m:r>
      </m:oMath>
      <w:r>
        <w:t xml:space="preserve"> </w:t>
      </w:r>
      <m:oMath>
        <m:r>
          <m:rPr>
            <m:sty m:val="p"/>
          </m:rPr>
          <m:t>∼</m:t>
        </m:r>
      </m:oMath>
      <w:r>
        <w:t xml:space="preserve">1 800 chem-pass after Stage 1+2 (4.6 % keep-rate per §F.2)</w:t>
      </w:r>
      <w:r>
        <w:t xml:space="preserve"> </w:t>
      </w:r>
      <m:oMath>
        <m:r>
          <m:rPr>
            <m:sty m:val="p"/>
          </m:rPr>
          <m:t>→</m:t>
        </m:r>
      </m:oMath>
      <w:r>
        <w:t xml:space="preserve"> </w:t>
      </w:r>
      <w:r>
        <w:t xml:space="preserve">top-100 by composite re-rank</w:t>
      </w:r>
      <w:r>
        <w:t xml:space="preserve"> </w:t>
      </w:r>
      <m:oMath>
        <m:r>
          <m:rPr>
            <m:sty m:val="p"/>
          </m:rPr>
          <m:t>→</m:t>
        </m:r>
      </m:oMath>
      <w:r>
        <w:t xml:space="preserve"> </w:t>
      </w:r>
      <w:r>
        <w:t xml:space="preserve">12 DFT-validated leads.</w:t>
      </w:r>
    </w:p>
    <w:bookmarkStart w:id="85" w:name="fig-14"/>
    <w:p>
      <w:pPr>
        <w:pStyle w:val="BodyText"/>
        <w:jc w:val="center"/>
        <w:keepNext/>
        <w:keepLines/>
        <w:widowControl w:val="1"/>
      </w:pPr>
      <w:r>
        <w:drawing>
          <wp:inline>
            <wp:extent cx="5943600" cy="3343275"/>
            <wp:effectExtent b="0" l="0" r="0" t="0"/>
            <wp:docPr descr="DGLD post-sampling: decode, filter, rerank" title="" id="83" name="Picture"/>
            <a:graphic>
              <a:graphicData uri="http://schemas.openxmlformats.org/drawingml/2006/picture">
                <pic:pic>
                  <pic:nvPicPr>
                    <pic:cNvPr descr="figs/fig4d_decode_rerank.png" id="84" name="Picture"/>
                    <pic:cNvPicPr>
                      <a:picLocks noChangeArrowheads="1" noChangeAspect="1"/>
                    </pic:cNvPicPr>
                  </pic:nvPicPr>
                  <pic:blipFill>
                    <a:blip r:embed="rId82"/>
                    <a:stretch>
                      <a:fillRect/>
                    </a:stretch>
                  </pic:blipFill>
                  <pic:spPr bwMode="auto">
                    <a:xfrm>
                      <a:off x="0" y="0"/>
                      <a:ext cx="5943600" cy="3343275"/>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14.</w:t>
      </w:r>
      <w:r>
        <w:t xml:space="preserve"> </w:t>
      </w:r>
      <w:r>
        <w:t xml:space="preserve">Four-stage funnel on the Figure 15 Pool fusion output: Stage 1 SMARTS gate, Stage 2 Pareto reranker (this section), Stage 3 xTB triage (§5.3), Stage 4 DFT audit (§5.3). Illustrative survivors: 40k</w:t>
      </w:r>
      <w:r>
        <w:t xml:space="preserve"> </w:t>
      </w:r>
      <m:oMath>
        <m:r>
          <m:rPr>
            <m:sty m:val="p"/>
          </m:rPr>
          <m:t>→</m:t>
        </m:r>
      </m:oMath>
      <w:r>
        <w:t xml:space="preserve"> </w:t>
      </w:r>
      <m:oMath>
        <m:r>
          <m:rPr>
            <m:sty m:val="p"/>
          </m:rPr>
          <m:t>∼</m:t>
        </m:r>
      </m:oMath>
      <w:r>
        <w:t xml:space="preserve">1 800 chem-pass (4.6 % keep-rate, §F.2)</w:t>
      </w:r>
      <w:r>
        <w:t xml:space="preserve"> </w:t>
      </w:r>
      <m:oMath>
        <m:r>
          <m:rPr>
            <m:sty m:val="p"/>
          </m:rPr>
          <m:t>→</m:t>
        </m:r>
      </m:oMath>
      <w:r>
        <w:t xml:space="preserve"> </w:t>
      </w:r>
      <w:r>
        <w:t xml:space="preserve">top-100</w:t>
      </w:r>
      <w:r>
        <w:t xml:space="preserve"> </w:t>
      </w:r>
      <m:oMath>
        <m:r>
          <m:rPr>
            <m:sty m:val="p"/>
          </m:rPr>
          <m:t>→</m:t>
        </m:r>
      </m:oMath>
      <w:r>
        <w:t xml:space="preserve"> </w:t>
      </w:r>
      <w:r>
        <w:t xml:space="preserve">12 DFT-validated.</w:t>
      </w:r>
    </w:p>
    <w:bookmarkEnd w:id="85"/>
    <w:p>
      <w:pPr>
        <w:pStyle w:val="BodyText"/>
        <w:jc w:val="both"/>
        <w:keepNext w:val="0"/>
        <w:keepLines w:val="0"/>
        <w:widowControl w:val="1"/>
      </w:pPr>
      <w:r>
        <w:t xml:space="preserve">The Pareto-front procedure in Stage 2 is the four-step sweep:</w:t>
      </w:r>
    </w:p>
    <w:p>
      <w:pPr>
        <w:pStyle w:val="Compact"/>
        <w:numPr>
          <w:ilvl w:val="0"/>
          <w:numId w:val="1002"/>
        </w:numPr>
        <w:jc w:val="both"/>
        <w:keepNext w:val="0"/>
        <w:keepLines w:val="0"/>
        <w:widowControl w:val="1"/>
      </w:pPr>
      <w:r>
        <w:rPr>
          <w:b/>
          <w:bCs/>
        </w:rPr>
        <w:t xml:space="preserve">Score</w:t>
      </w:r>
      <w:r>
        <w:t xml:space="preserve"> </w:t>
      </w:r>
      <w:r>
        <w:t xml:space="preserve">each candidate with the composite</w:t>
      </w:r>
      <w:r>
        <w:t xml:space="preserve"> </w:t>
      </w:r>
      <m:oMath>
        <m:r>
          <m:t>S</m:t>
        </m:r>
        <m:r>
          <m:rPr>
            <m:sty m:val="p"/>
          </m:rPr>
          <m:t>(</m:t>
        </m:r>
        <m:r>
          <m:t>x</m:t>
        </m:r>
        <m:r>
          <m:rPr>
            <m:sty m:val="p"/>
          </m:rPr>
          <m:t>)</m:t>
        </m:r>
      </m:oMath>
      <w:r>
        <w:t xml:space="preserve"> </w:t>
      </w:r>
      <w:r>
        <w:t xml:space="preserve">defined above (perf-band, viability, novelty, sensitivity, alerts).</w:t>
      </w:r>
    </w:p>
    <w:p>
      <w:pPr>
        <w:pStyle w:val="Compact"/>
        <w:numPr>
          <w:ilvl w:val="0"/>
          <w:numId w:val="1002"/>
        </w:numPr>
        <w:jc w:val="both"/>
        <w:keepNext w:val="0"/>
        <w:keepLines w:val="0"/>
        <w:widowControl w:val="1"/>
      </w:pPr>
      <w:r>
        <w:rPr>
          <w:b/>
          <w:bCs/>
        </w:rPr>
        <w:t xml:space="preserve">Mark</w:t>
      </w:r>
      <w:r>
        <w:t xml:space="preserve"> </w:t>
      </w:r>
      <w:r>
        <w:t xml:space="preserve">each candidate as on-front or dominated, against the four-objective comparison (</w:t>
      </w:r>
      <m:oMath>
        <m:r>
          <m:rPr>
            <m:sty m:val="p"/>
          </m:rPr>
          <m:t>−</m:t>
        </m:r>
      </m:oMath>
      <w:r>
        <w:t xml:space="preserve">perf,</w:t>
      </w:r>
      <w:r>
        <w:t xml:space="preserve"> </w:t>
      </w:r>
      <m:oMath>
        <m:r>
          <m:rPr>
            <m:sty m:val="p"/>
          </m:rPr>
          <m:t>−</m:t>
        </m:r>
      </m:oMath>
      <w:r>
        <w:t xml:space="preserve">viability, sensitivity, alerts) using a standard pairwise non-dominance sweep.</w:t>
      </w:r>
    </w:p>
    <w:p>
      <w:pPr>
        <w:pStyle w:val="Compact"/>
        <w:numPr>
          <w:ilvl w:val="0"/>
          <w:numId w:val="1002"/>
        </w:numPr>
        <w:jc w:val="both"/>
        <w:keepNext w:val="0"/>
        <w:keepLines w:val="0"/>
        <w:widowControl w:val="1"/>
      </w:pPr>
      <w:r>
        <w:rPr>
          <w:b/>
          <w:bCs/>
        </w:rPr>
        <w:t xml:space="preserve">Sort</w:t>
      </w:r>
      <w:r>
        <w:t xml:space="preserve"> </w:t>
      </w:r>
      <w:r>
        <w:t xml:space="preserve">with a two-key order: Pareto-front candidates first, then non-front; within each stratum by composite descending.</w:t>
      </w:r>
    </w:p>
    <w:p>
      <w:pPr>
        <w:pStyle w:val="Compact"/>
        <w:numPr>
          <w:ilvl w:val="0"/>
          <w:numId w:val="1002"/>
        </w:numPr>
        <w:jc w:val="both"/>
        <w:keepNext w:val="0"/>
        <w:keepLines w:val="0"/>
        <w:widowControl w:val="1"/>
      </w:pPr>
      <w:r>
        <w:rPr>
          <w:b/>
          <w:bCs/>
        </w:rPr>
        <w:t xml:space="preserve">Return</w:t>
      </w:r>
      <w:r>
        <w:t xml:space="preserve"> </w:t>
      </w:r>
      <w:r>
        <w:t xml:space="preserve">the top-</w:t>
      </w:r>
      <m:oMath>
        <m:r>
          <m:t>K</m:t>
        </m:r>
      </m:oMath>
      <w:r>
        <w:t xml:space="preserve"> </w:t>
      </w:r>
      <w:r>
        <w:t xml:space="preserve">(default</w:t>
      </w:r>
      <w:r>
        <w:t xml:space="preserve"> </w:t>
      </w:r>
      <m:oMath>
        <m:r>
          <m:t>K</m:t>
        </m:r>
        <m:r>
          <m:rPr>
            <m:sty m:val="p"/>
          </m:rPr>
          <m:t>=</m:t>
        </m:r>
        <m:r>
          <m:t>100</m:t>
        </m:r>
      </m:oMath>
      <w:r>
        <w:t xml:space="preserve">).</w:t>
      </w:r>
    </w:p>
    <w:bookmarkEnd w:id="86"/>
    <w:bookmarkStart w:id="91" w:name="pool-fusion-across-sampling-runs"/>
    <w:p>
      <w:pPr>
        <w:pStyle w:val="Heading3"/>
        <w:keepNext/>
        <w:keepLines/>
        <w:widowControl w:val="1"/>
      </w:pPr>
      <w:r>
        <w:t xml:space="preserve">4.11 Pool fusion across sampling runs</w:t>
      </w:r>
    </w:p>
    <w:p>
      <w:pPr>
        <w:pStyle w:val="FirstParagraph"/>
        <w:jc w:val="both"/>
        <w:keepNext w:val="0"/>
        <w:keepLines w:val="0"/>
        <w:widowControl w:val="1"/>
      </w:pPr>
      <w:r>
        <w:t xml:space="preserve">A single sampling lane fixes one (denoiser, conditions, guidance) tuple. Pool fusion runs multiple lanes in parallel and unions their decoded SMILES outputs, exploiting the lanes' independent failure modes for diversity. The §4.10 reranker is what tie-breaks across the fused pool.</w:t>
      </w:r>
    </w:p>
    <w:p>
      <w:pPr>
        <w:pStyle w:val="BodyText"/>
        <w:jc w:val="both"/>
        <w:keepNext w:val="0"/>
        <w:keepLines w:val="0"/>
        <w:widowControl w:val="1"/>
      </w:pPr>
      <w:r>
        <w:t xml:space="preserve">Figure 15 walks pool fusion. A single sampling lane = one (denoiser, conditions, guidance) tuple, run end-to-end (</w:t>
      </w:r>
      <m:oMath>
        <m:sSub>
          <m:e>
            <m:r>
              <m:t>z</m:t>
            </m:r>
          </m:e>
          <m:sub>
            <m:r>
              <m:t>T</m:t>
            </m:r>
          </m:sub>
        </m:sSub>
      </m:oMath>
      <w:r>
        <w:t xml:space="preserve"> </w:t>
      </w:r>
      <w:r>
        <w:t xml:space="preserve">draw</w:t>
      </w:r>
      <w:r>
        <w:t xml:space="preserve"> </w:t>
      </w:r>
      <m:oMath>
        <m:r>
          <m:rPr>
            <m:sty m:val="p"/>
          </m:rPr>
          <m:t>→</m:t>
        </m:r>
      </m:oMath>
      <w:r>
        <w:t xml:space="preserve"> </w:t>
      </w:r>
      <w:r>
        <w:t xml:space="preserve">40 DDIM with that lane's config</w:t>
      </w:r>
      <w:r>
        <w:t xml:space="preserve"> </w:t>
      </w:r>
      <m:oMath>
        <m:r>
          <m:rPr>
            <m:sty m:val="p"/>
          </m:rPr>
          <m:t>→</m:t>
        </m:r>
      </m:oMath>
      <w:r>
        <w:t xml:space="preserve"> </w:t>
      </w:r>
      <w:r>
        <w:t xml:space="preserve">LIMO decode</w:t>
      </w:r>
      <w:r>
        <w:t xml:space="preserve"> </w:t>
      </w:r>
      <m:oMath>
        <m:r>
          <m:rPr>
            <m:sty m:val="p"/>
          </m:rPr>
          <m:t>→</m:t>
        </m:r>
      </m:oMath>
      <w:r>
        <w:t xml:space="preserve"> </w:t>
      </w:r>
      <w:r>
        <w:t xml:space="preserve">SMILES pool). The production methodology recipe is two lanes, one per denoiser (DGLD-H and DGLD-P), both at the headline target conditions, both at viab+sens+hazard guidance, both at CFG</w:t>
      </w:r>
      <w:r>
        <w:t xml:space="preserve"> </w:t>
      </w:r>
      <m:oMath>
        <m:r>
          <m:t>w</m:t>
        </m:r>
        <m:r>
          <m:rPr>
            <m:sty m:val="p"/>
          </m:rPr>
          <m:t>=</m:t>
        </m:r>
        <m:r>
          <m:t>7</m:t>
        </m:r>
      </m:oMath>
      <w:r>
        <w:t xml:space="preserve">, pool</w:t>
      </w:r>
      <w:r>
        <w:t xml:space="preserve"> </w:t>
      </w:r>
      <m:oMath>
        <m:r>
          <m:rPr>
            <m:sty m:val="p"/>
          </m:rPr>
          <m:t>≥</m:t>
        </m:r>
      </m:oMath>
      <w:r>
        <w:t xml:space="preserve"> 40k each. Fusion is post-decode: the lanes' pools are unioned, canonical-SMILES deduplicated, and fed into the Stage-1 reranker. The three orthogonal diversity axes are conditions, denoisers, and guidance; each breaks a different correlated failure mode. The §F.4 four-pool merge (which adds two unguided ablation lanes) is a presentation choice for the merged top-100 result, not the production methodology recipe.</w:t>
      </w:r>
    </w:p>
    <w:bookmarkStart w:id="90" w:name="fig-15"/>
    <w:p>
      <w:pPr>
        <w:pStyle w:val="BodyText"/>
        <w:jc w:val="center"/>
        <w:keepNext/>
        <w:keepLines/>
        <w:widowControl w:val="1"/>
      </w:pPr>
      <w:r>
        <w:drawing>
          <wp:inline>
            <wp:extent cx="5943600" cy="3345052"/>
            <wp:effectExtent b="0" l="0" r="0" t="0"/>
            <wp:docPr descr="DGLD pool fusion across sampling runs: 4 lanes (2 guided production, 2 unguided baseline) varying denoiser and guidance, fanned into Union + canonical-SMILES dedupe" title="" id="88" name="Picture"/>
            <a:graphic>
              <a:graphicData uri="http://schemas.openxmlformats.org/drawingml/2006/picture">
                <pic:pic>
                  <pic:nvPicPr>
                    <pic:cNvPr descr="figs/fig4g_pool_fusion.png" id="89" name="Picture"/>
                    <pic:cNvPicPr>
                      <a:picLocks noChangeArrowheads="1" noChangeAspect="1"/>
                    </pic:cNvPicPr>
                  </pic:nvPicPr>
                  <pic:blipFill>
                    <a:blip r:embed="rId87"/>
                    <a:stretch>
                      <a:fillRect/>
                    </a:stretch>
                  </pic:blipFill>
                  <pic:spPr bwMode="auto">
                    <a:xfrm>
                      <a:off x="0" y="0"/>
                      <a:ext cx="5943600" cy="334505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15.</w:t>
      </w:r>
      <w:r>
        <w:t xml:space="preserve"> </w:t>
      </w:r>
      <w:r>
        <w:t xml:space="preserve">Four independent end-to-end sampling lanes, each defined by a (denoiser, guidance) tuple at the headline target conditions: lanes 1-2 are guided (DGLD-H and DGLD-P at viab+sens+hazard) and form the production methodology recipe; lanes 3-4 are unguided baselines (DGLD-H and DGLD-P at CFG-only). Each lane runs end-to-end (</w:t>
      </w:r>
      <m:oMath>
        <m:sSub>
          <m:e>
            <m:r>
              <m:t>z</m:t>
            </m:r>
          </m:e>
          <m:sub>
            <m:r>
              <m:t>T</m:t>
            </m:r>
          </m:sub>
        </m:sSub>
      </m:oMath>
      <w:r>
        <w:t xml:space="preserve"> </w:t>
      </w:r>
      <w:r>
        <w:t xml:space="preserve">draw → 40 DDIM → LIMO decode); the four pools converge to a single Union + canonical-SMILES dedupe step that feeds the §4.10 reranker (Figure 14).</w:t>
      </w:r>
    </w:p>
    <w:bookmarkEnd w:id="90"/>
    <w:bookmarkEnd w:id="91"/>
    <w:bookmarkStart w:id="98" w:name="training-and-hyperparameter-selection"/>
    <w:p>
      <w:pPr>
        <w:pStyle w:val="Heading3"/>
        <w:keepNext/>
        <w:keepLines/>
        <w:widowControl w:val="1"/>
      </w:pPr>
      <w:r>
        <w:t xml:space="preserve">4.12 Training and hyperparameter selection</w:t>
      </w:r>
    </w:p>
    <w:p>
      <w:pPr>
        <w:pStyle w:val="FirstParagraph"/>
        <w:jc w:val="both"/>
        <w:keepNext w:val="0"/>
        <w:keepLines w:val="0"/>
        <w:widowControl w:val="1"/>
      </w:pPr>
      <w:r>
        <w:t xml:space="preserve">Every numeric constant in §4.2-§4.11 is selected by one of four mechanisms: empirically swept, stop-criterion-driven, inherited from prior work, or chemist-set. This section walks each bucket and flags what was empirically verified versus what was a defensible default.</w:t>
      </w:r>
    </w:p>
    <w:p>
      <w:pPr>
        <w:pStyle w:val="BodyText"/>
        <w:jc w:val="both"/>
        <w:keepNext w:val="0"/>
        <w:keepLines w:val="0"/>
        <w:widowControl w:val="1"/>
      </w:pPr>
      <w:r>
        <w:t xml:space="preserve">Every numeric constant introduced in §4.2–§4.11 falls into one of four buckets, distinguished by</w:t>
      </w:r>
      <w:r>
        <w:t xml:space="preserve"> </w:t>
      </w:r>
      <w:r>
        <w:rPr>
          <w:i/>
          <w:iCs/>
        </w:rPr>
        <w:t xml:space="preserve">how</w:t>
      </w:r>
      <w:r>
        <w:t xml:space="preserve"> </w:t>
      </w:r>
      <w:r>
        <w:t xml:space="preserve">the value was set: empirical sweeps, stop-criterion-driven counts, values inherited from prior work, and chemist-set thresholds. The remainder of this section walks each bucket in turn, then closes with the limitations of the selection procedure.</w:t>
      </w:r>
    </w:p>
    <w:p>
      <w:pPr>
        <w:pStyle w:val="BodyText"/>
        <w:jc w:val="both"/>
        <w:keepNext w:val="0"/>
        <w:keepLines w:val="0"/>
        <w:widowControl w:val="1"/>
      </w:pPr>
      <w:r>
        <w:t xml:space="preserve">The first bucket is empirically swept. Two knobs were swept directly under the post-filter survival metric: the classifier-free-guidance scale</w:t>
      </w:r>
      <w:r>
        <w:t xml:space="preserve"> </w:t>
      </w:r>
      <m:oMath>
        <m:r>
          <m:t>w</m:t>
        </m:r>
      </m:oMath>
      <w:r>
        <w:t xml:space="preserve"> </w:t>
      </w:r>
      <w:r>
        <w:t xml:space="preserve">(Figure 16) and the candidate pool size (Figure 17). The CFG scale was tested at three points,</w:t>
      </w:r>
      <w:r>
        <w:t xml:space="preserve"> </w:t>
      </w:r>
      <m:oMath>
        <m:r>
          <m:t>w</m:t>
        </m:r>
        <m:r>
          <m:rPr>
            <m:sty m:val="p"/>
          </m:rPr>
          <m:t>∈</m:t>
        </m:r>
        <m:r>
          <m:rPr>
            <m:sty m:val="p"/>
          </m:rPr>
          <m:t>{</m:t>
        </m:r>
        <m:r>
          <m:t>5</m:t>
        </m:r>
        <m:r>
          <m:rPr>
            <m:sty m:val="p"/>
          </m:rPr>
          <m:t>,</m:t>
        </m:r>
        <m:r>
          <m:t>7</m:t>
        </m:r>
        <m:r>
          <m:rPr>
            <m:sty m:val="p"/>
          </m:rPr>
          <m:t>,</m:t>
        </m:r>
        <m:r>
          <m:t>9</m:t>
        </m:r>
        <m:r>
          <m:rPr>
            <m:sty m:val="p"/>
          </m:rPr>
          <m:t>}</m:t>
        </m:r>
      </m:oMath>
      <w:r>
        <w:t xml:space="preserve"> </w:t>
      </w:r>
      <w:r>
        <w:t xml:space="preserve">at pool=8k, ranked by post-filter yield;</w:t>
      </w:r>
      <w:r>
        <w:t xml:space="preserve"> </w:t>
      </w:r>
      <m:oMath>
        <m:r>
          <m:t>w</m:t>
        </m:r>
        <m:r>
          <m:rPr>
            <m:sty m:val="p"/>
          </m:rPr>
          <m:t>=</m:t>
        </m:r>
        <m:r>
          <m:t>7</m:t>
        </m:r>
      </m:oMath>
      <w:r>
        <w:t xml:space="preserve"> </w:t>
      </w:r>
      <w:r>
        <w:t xml:space="preserve">is the empirical sweet spot, with more candidates surviving than at</w:t>
      </w:r>
      <w:r>
        <w:t xml:space="preserve"> </w:t>
      </w:r>
      <m:oMath>
        <m:r>
          <m:t>w</m:t>
        </m:r>
        <m:r>
          <m:rPr>
            <m:sty m:val="p"/>
          </m:rPr>
          <m:t>=</m:t>
        </m:r>
        <m:r>
          <m:t>5</m:t>
        </m:r>
      </m:oMath>
      <w:r>
        <w:t xml:space="preserve"> </w:t>
      </w:r>
      <w:r>
        <w:t xml:space="preserve">and the tight-mode collapse at</w:t>
      </w:r>
      <w:r>
        <w:t xml:space="preserve"> </w:t>
      </w:r>
      <m:oMath>
        <m:r>
          <m:t>w</m:t>
        </m:r>
        <m:r>
          <m:rPr>
            <m:sty m:val="p"/>
          </m:rPr>
          <m:t>=</m:t>
        </m:r>
        <m:r>
          <m:t>9</m:t>
        </m:r>
      </m:oMath>
      <w:r>
        <w:t xml:space="preserve"> </w:t>
      </w:r>
      <w:r>
        <w:t xml:space="preserve">avoided. The pool-size sweep ranged from 1.5k to 40k, with both the best composite and the post-filter survival count still climbing at 40k; production uses pool</w:t>
      </w:r>
      <w:r>
        <w:t xml:space="preserve"> </w:t>
      </w:r>
      <m:oMath>
        <m:r>
          <m:rPr>
            <m:sty m:val="p"/>
          </m:rPr>
          <m:t>≥</m:t>
        </m:r>
      </m:oMath>
      <w:r>
        <w:t xml:space="preserve"> 40k per lane. The per-head guidance scales</w:t>
      </w:r>
      <w:r>
        <w:t xml:space="preserve"> </w:t>
      </w:r>
      <m:oMath>
        <m:sSub>
          <m:e>
            <m:r>
              <m:t>s</m:t>
            </m:r>
          </m:e>
          <m:sub>
            <m:r>
              <m:t>h</m:t>
            </m:r>
          </m:sub>
        </m:sSub>
      </m:oMath>
      <w:r>
        <w:t xml:space="preserve"> </w:t>
      </w:r>
      <w:r>
        <w:t xml:space="preserve">were also empirically chosen via the §F.4 multi-axis matrix (full grid in Appendix D.6), and the score-head loss weights</w:t>
      </w:r>
      <w:r>
        <w:t xml:space="preserve"> </w:t>
      </w:r>
      <m:oMath>
        <m:sSub>
          <m:e>
            <m:r>
              <m:t>w</m:t>
            </m:r>
          </m:e>
          <m:sub>
            <m:r>
              <m:t>k</m:t>
            </m:r>
          </m:sub>
        </m:sSub>
      </m:oMath>
      <w:r>
        <w:t xml:space="preserve"> </w:t>
      </w:r>
      <w:r>
        <w:t xml:space="preserve">were hand-set so each</w:t>
      </w:r>
      <w:r>
        <w:t xml:space="preserve"> </w:t>
      </w:r>
      <m:oMath>
        <m:sSub>
          <m:e>
            <m:r>
              <m:rPr>
                <m:scr m:val="script"/>
                <m:sty m:val="p"/>
              </m:rPr>
              <m:t>L</m:t>
            </m:r>
          </m:e>
          <m:sub>
            <m:r>
              <m:t>k</m:t>
            </m:r>
          </m:sub>
        </m:sSub>
      </m:oMath>
      <w:r>
        <w:t xml:space="preserve"> </w:t>
      </w:r>
      <w:r>
        <w:t xml:space="preserve">sits at</w:t>
      </w:r>
      <w:r>
        <w:t xml:space="preserve"> </w:t>
      </w:r>
      <m:oMath>
        <m:r>
          <m:rPr>
            <m:scr m:val="script"/>
            <m:sty m:val="p"/>
          </m:rPr>
          <m:t>O</m:t>
        </m:r>
        <m:r>
          <m:rPr>
            <m:sty m:val="p"/>
          </m:rPr>
          <m:t>(</m:t>
        </m:r>
        <m:r>
          <m:t>1</m:t>
        </m:r>
        <m:r>
          <m:rPr>
            <m:sty m:val="p"/>
          </m:rPr>
          <m:t>)</m:t>
        </m:r>
      </m:oMath>
      <w:r>
        <w:t xml:space="preserve"> </w:t>
      </w:r>
      <w:r>
        <w:t xml:space="preserve">at convergence (ablation in Appendix B.3).</w:t>
      </w:r>
    </w:p>
    <w:p>
      <w:pPr>
        <w:pStyle w:val="BodyText"/>
        <w:jc w:val="center"/>
        <w:keepNext/>
        <w:keepLines/>
        <w:widowControl w:val="1"/>
      </w:pPr>
      <w:r>
        <w:drawing>
          <wp:inline>
            <wp:extent cx="5943600" cy="3516503"/>
            <wp:effectExtent b="0" l="0" r="0" t="0"/>
            <wp:docPr descr="CFG sweep" title="" id="93" name="Picture"/>
            <a:graphic>
              <a:graphicData uri="http://schemas.openxmlformats.org/drawingml/2006/picture">
                <pic:pic>
                  <pic:nvPicPr>
                    <pic:cNvPr descr="figs/fig2_cfg_sweep.png" id="94" name="Picture"/>
                    <pic:cNvPicPr>
                      <a:picLocks noChangeArrowheads="1" noChangeAspect="1"/>
                    </pic:cNvPicPr>
                  </pic:nvPicPr>
                  <pic:blipFill>
                    <a:blip r:embed="rId92"/>
                    <a:stretch>
                      <a:fillRect/>
                    </a:stretch>
                  </pic:blipFill>
                  <pic:spPr bwMode="auto">
                    <a:xfrm>
                      <a:off x="0" y="0"/>
                      <a:ext cx="5943600" cy="351650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16.</w:t>
      </w:r>
      <w:r>
        <w:t xml:space="preserve"> </w:t>
      </w:r>
      <w:r>
        <w:t xml:space="preserve">Classifier-free guidance scale</w:t>
      </w:r>
      <w:r>
        <w:t xml:space="preserve"> </w:t>
      </w:r>
      <m:oMath>
        <m:r>
          <m:t>w</m:t>
        </m:r>
      </m:oMath>
      <w:r>
        <w:t xml:space="preserve"> </w:t>
      </w:r>
      <w:r>
        <w:t xml:space="preserve">sweep at pool=8 000 per setting, ranked by the two-denoiser pool.</w:t>
      </w:r>
      <w:r>
        <w:t xml:space="preserve"> </w:t>
      </w:r>
      <m:oMath>
        <m:r>
          <m:t>w</m:t>
        </m:r>
        <m:r>
          <m:rPr>
            <m:sty m:val="p"/>
          </m:rPr>
          <m:t>=</m:t>
        </m:r>
        <m:r>
          <m:t>7</m:t>
        </m:r>
      </m:oMath>
      <w:r>
        <w:t xml:space="preserve"> </w:t>
      </w:r>
      <w:r>
        <w:t xml:space="preserve">is the empirical sweet spot.</w:t>
      </w:r>
    </w:p>
    <w:p>
      <w:pPr>
        <w:pStyle w:val="BodyText"/>
        <w:jc w:val="center"/>
        <w:keepNext/>
        <w:keepLines/>
        <w:widowControl w:val="1"/>
      </w:pPr>
      <w:r>
        <w:drawing>
          <wp:inline>
            <wp:extent cx="5943600" cy="3348690"/>
            <wp:effectExtent b="0" l="0" r="0" t="0"/>
            <wp:docPr descr="Pool size scaling" title="" id="96" name="Picture"/>
            <a:graphic>
              <a:graphicData uri="http://schemas.openxmlformats.org/drawingml/2006/picture">
                <pic:pic>
                  <pic:nvPicPr>
                    <pic:cNvPr descr="figs/fig1_pool_scaling.png" id="97" name="Picture"/>
                    <pic:cNvPicPr>
                      <a:picLocks noChangeArrowheads="1" noChangeAspect="1"/>
                    </pic:cNvPicPr>
                  </pic:nvPicPr>
                  <pic:blipFill>
                    <a:blip r:embed="rId95"/>
                    <a:stretch>
                      <a:fillRect/>
                    </a:stretch>
                  </pic:blipFill>
                  <pic:spPr bwMode="auto">
                    <a:xfrm>
                      <a:off x="0" y="0"/>
                      <a:ext cx="5943600" cy="334869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17.</w:t>
      </w:r>
      <w:r>
        <w:t xml:space="preserve"> </w:t>
      </w:r>
      <w:r>
        <w:t xml:space="preserve">Pool size vs. (i) best composite score over top-1 candidate, (ii) number of candidates passing every filter. Both curves are still moving at pool=40k; the M7 five-lane 100k run (§F.5) confirms the trend: 4 639 passing candidates (5.1× more than the 40k baseline) with scaffold count expanding from 7 to 24.</w:t>
      </w:r>
    </w:p>
    <w:p>
      <w:pPr>
        <w:pStyle w:val="BodyText"/>
        <w:jc w:val="both"/>
        <w:keepNext w:val="0"/>
        <w:keepLines w:val="0"/>
        <w:widowControl w:val="1"/>
      </w:pPr>
      <w:r>
        <w:t xml:space="preserve">The second bucket is stop-criterion-driven. The self-distillation round count was set by the held-out probe described in §4.8, which requires every anchor at</w:t>
      </w:r>
      <w:r>
        <w:t xml:space="preserve"> </w:t>
      </w:r>
      <m:oMath>
        <m:r>
          <m:rPr>
            <m:sty m:val="p"/>
          </m:rPr>
          <m:t>≥</m:t>
        </m:r>
      </m:oMath>
      <w:r>
        <w:t xml:space="preserve"> 0.86 and every cheat at</w:t>
      </w:r>
      <w:r>
        <w:t xml:space="preserve"> </w:t>
      </w:r>
      <m:oMath>
        <m:r>
          <m:rPr>
            <m:sty m:val="p"/>
          </m:rPr>
          <m:t>≤</m:t>
        </m:r>
      </m:oMath>
      <w:r>
        <w:t xml:space="preserve"> 0.84; the production budget-918 checkpoint is round 2 of self-distillation (round 0 = score-model trained on corpus only with Random-Forest-derived viability labels and 0 hard negatives, round 1 = corpus + 137 mined hard negatives, round 2 = corpus + 918 cumulative hard negatives + aromatic-heterocycle boost), the first to satisfy both conditions. The hard-negative count (918) is the cumulative round-2 mining yield, not a tuned target.</w:t>
      </w:r>
    </w:p>
    <w:p>
      <w:pPr>
        <w:pStyle w:val="BodyText"/>
        <w:jc w:val="both"/>
        <w:keepNext w:val="0"/>
        <w:keepLines w:val="0"/>
        <w:widowControl w:val="1"/>
      </w:pPr>
      <w:r>
        <w:t xml:space="preserve">The third bucket is inherited from prior work or community convention and is not retuned in this paper. The KL weight</w:t>
      </w:r>
      <w:r>
        <w:t xml:space="preserve"> </w:t>
      </w:r>
      <m:oMath>
        <m:r>
          <m:t>β</m:t>
        </m:r>
        <m:r>
          <m:rPr>
            <m:sty m:val="p"/>
          </m:rPr>
          <m:t>=</m:t>
        </m:r>
        <m:r>
          <m:t>0.01</m:t>
        </m:r>
      </m:oMath>
      <w:r>
        <w:t xml:space="preserve"> </w:t>
      </w:r>
      <w:r>
        <w:t xml:space="preserve">is the LIMO original; the DDPM uses the cosine</w:t>
      </w:r>
      <w:r>
        <w:t xml:space="preserve"> </w:t>
      </w:r>
      <m:oMath>
        <m:r>
          <m:t>T</m:t>
        </m:r>
        <m:r>
          <m:rPr>
            <m:sty m:val="p"/>
          </m:rPr>
          <m:t>=</m:t>
        </m:r>
        <m:r>
          <m:t>1000</m:t>
        </m:r>
      </m:oMath>
      <w:r>
        <w:t xml:space="preserve"> </w:t>
      </w:r>
      <w:r>
        <w:t xml:space="preserve">schedule of Ho et al.</w:t>
      </w:r>
      <w:r>
        <w:t xml:space="preserve"> </w:t>
      </w:r>
      <w:hyperlink w:anchor="ref-ho2020ddpm">
        <w:r>
          <w:rPr>
            <w:rStyle w:val="Hyperlink"/>
          </w:rPr>
          <w:t xml:space="preserve">[18]</w:t>
        </w:r>
      </w:hyperlink>
      <w:r>
        <w:t xml:space="preserve">; the per-property dropout rate of 0.30 follows FiLM convention; the CFG dropout rate of 0.10 follows Ho and Salimans 2022; AdamW with peak LR</w:t>
      </w:r>
      <w:r>
        <w:t xml:space="preserve"> </w:t>
      </w:r>
      <m:oMath>
        <m:sSup>
          <m:e>
            <m:r>
              <m:t>10</m:t>
            </m:r>
          </m:e>
          <m:sup>
            <m:r>
              <m:rPr>
                <m:sty m:val="p"/>
              </m:rPr>
              <m:t>−</m:t>
            </m:r>
            <m:r>
              <m:t>4</m:t>
            </m:r>
          </m:sup>
        </m:sSup>
      </m:oMath>
      <w:r>
        <w:t xml:space="preserve"> </w:t>
      </w:r>
      <w:r>
        <w:t xml:space="preserve">on a cosine schedule plus EMA decay 0.999 is the standard diffusion-training recipe.</w:t>
      </w:r>
    </w:p>
    <w:p>
      <w:pPr>
        <w:pStyle w:val="BodyText"/>
        <w:jc w:val="both"/>
        <w:keepNext w:val="0"/>
        <w:keepLines w:val="0"/>
        <w:widowControl w:val="1"/>
      </w:pPr>
      <w:r>
        <w:t xml:space="preserve">The fourth bucket is chemist-set thresholds, fixed by domain conventions rather than by sweep. The xTB HOMO–LUMO cut is</w:t>
      </w:r>
      <w:r>
        <w:t xml:space="preserve"> </w:t>
      </w:r>
      <m:oMath>
        <m:r>
          <m:rPr>
            <m:sty m:val="p"/>
          </m:rPr>
          <m:t>≥</m:t>
        </m:r>
      </m:oMath>
      <w:r>
        <w:t xml:space="preserve"> 1.5 eV; the DFT calibration set is the 6-anchor panel (RDX, TATB, HMX, PETN, FOX-7, NTO); the Tanimoto novelty window is</w:t>
      </w:r>
      <w:r>
        <w:t xml:space="preserve"> </w:t>
      </w:r>
      <m:oMath>
        <m:r>
          <m:rPr>
            <m:sty m:val="p"/>
          </m:rPr>
          <m:t>[</m:t>
        </m:r>
        <m:r>
          <m:t>0.20</m:t>
        </m:r>
        <m:r>
          <m:rPr>
            <m:sty m:val="p"/>
          </m:rPr>
          <m:t>,</m:t>
        </m:r>
        <m:r>
          <m:t>0.55</m:t>
        </m:r>
        <m:r>
          <m:rPr>
            <m:sty m:val="p"/>
          </m:rPr>
          <m:t>]</m:t>
        </m:r>
      </m:oMath>
      <w:r>
        <w:t xml:space="preserve"> </w:t>
      </w:r>
      <w:r>
        <w:t xml:space="preserve">(operational novelty criterion for this pipeline; absolute scaffold novelty in the HEDM literature requires additional expert review); molecular-weight floor is 130 Da and the oxygen-balance cap is</w:t>
      </w:r>
      <w:r>
        <w:t xml:space="preserve"> </w:t>
      </w:r>
      <m:oMath>
        <m:r>
          <m:rPr>
            <m:sty m:val="p"/>
          </m:rPr>
          <m:t>+</m:t>
        </m:r>
        <m:r>
          <m:t>25</m:t>
        </m:r>
        <m:r>
          <m:t> </m:t>
        </m:r>
        <m:r>
          <m:rPr>
            <m:sty m:val="p"/>
          </m:rPr>
          <m:t>%</m:t>
        </m:r>
      </m:oMath>
      <w:r>
        <w:t xml:space="preserve">.</w:t>
      </w:r>
    </w:p>
    <w:p>
      <w:pPr>
        <w:pStyle w:val="BodyText"/>
        <w:jc w:val="both"/>
        <w:keepNext w:val="0"/>
        <w:keepLines w:val="0"/>
        <w:widowControl w:val="1"/>
      </w:pPr>
      <w:r>
        <w:t xml:space="preserve">The selection procedure has clear limitations. No Bayesian optimisation, no global grid search, no joint sweep over (</w:t>
      </w:r>
      <m:oMath>
        <m:r>
          <m:t>w</m:t>
        </m:r>
      </m:oMath>
      <w:r>
        <w:t xml:space="preserve">,</w:t>
      </w:r>
      <w:r>
        <w:t xml:space="preserve"> </w:t>
      </w:r>
      <m:oMath>
        <m:sSub>
          <m:e>
            <m:r>
              <m:t>s</m:t>
            </m:r>
          </m:e>
          <m:sub>
            <m:r>
              <m:t>h</m:t>
            </m:r>
          </m:sub>
        </m:sSub>
      </m:oMath>
      <w:r>
        <w:t xml:space="preserve">, pool size), and no per-target retuning are performed; all ablations reported in §5 and Appendix D are 1D. §5.6 hosts only the</w:t>
      </w:r>
      <w:r>
        <w:t xml:space="preserve"> </w:t>
      </w:r>
      <w:r>
        <w:rPr>
          <w:i/>
          <w:iCs/>
        </w:rPr>
        <w:t xml:space="preserve">use</w:t>
      </w:r>
      <w:r>
        <w:t xml:space="preserve"> </w:t>
      </w:r>
      <w:r>
        <w:t xml:space="preserve">of these settings (baseline comparisons, top-1 metrics) and Appendix D gives the full per-axis grids; the selection process lives here. The full compute footprint is summarised in Appendix D.2.</w:t>
      </w:r>
    </w:p>
    <w:bookmarkEnd w:id="98"/>
    <w:bookmarkEnd w:id="99"/>
    <w:bookmarkStart w:id="136" w:name="sec-exp"/>
    <w:p>
      <w:pPr>
        <w:pStyle w:val="Heading2"/>
        <w:keepNext/>
        <w:keepLines/>
        <w:widowControl w:val="1"/>
      </w:pPr>
      <w:r>
        <w:t xml:space="preserve">5. Experiments</w:t>
      </w:r>
    </w:p>
    <w:bookmarkStart w:id="100" w:name="roadmap-and-headline-targets"/>
    <w:p>
      <w:pPr>
        <w:pStyle w:val="Heading3"/>
        <w:keepNext/>
        <w:keepLines/>
        <w:widowControl w:val="1"/>
      </w:pPr>
      <w:r>
        <w:t xml:space="preserve">5.1 Roadmap and headline targets</w:t>
      </w:r>
    </w:p>
    <w:p>
      <w:pPr>
        <w:pStyle w:val="FirstParagraph"/>
        <w:jc w:val="both"/>
        <w:keepNext w:val="0"/>
        <w:keepLines w:val="0"/>
        <w:widowControl w:val="1"/>
      </w:pPr>
      <w:r>
        <w:t xml:space="preserve">§5 is structured results-first: §5.2 reports the gated Pareto reranker top leads (Stages 1+2 of the validation chain); §5.3 reports physics validation (xTB triage and DFT confirmation, Stages 3+4); §5.4 combines novelty, retrosynthesis, and the E-set scaffold-diversity audit; §5.5 contrasts DGLD against no-diffusion baselines; §5.6 is the ablation summary. The four headline targets are</w:t>
      </w:r>
      <w:r>
        <w:t xml:space="preserve"> </w:t>
      </w:r>
      <m:oMath>
        <m:r>
          <m:t>ρ</m:t>
        </m:r>
        <m:r>
          <m:rPr>
            <m:sty m:val="p"/>
          </m:rPr>
          <m:t>≥</m:t>
        </m:r>
        <m:r>
          <m:t>1.85</m:t>
        </m:r>
      </m:oMath>
      <w:r>
        <w:t xml:space="preserve"> g/cm</w:t>
      </w:r>
      <w:r>
        <w:rPr>
          <w:vertAlign w:val="superscript"/>
        </w:rPr>
        <w:t xml:space="preserve">3</w:t>
      </w:r>
      <w:r>
        <w:t xml:space="preserve">,</w:t>
      </w:r>
      <w:r>
        <w:t xml:space="preserve"> </w:t>
      </w:r>
      <m:oMath>
        <m:r>
          <m:t>D</m:t>
        </m:r>
        <m:r>
          <m:rPr>
            <m:sty m:val="p"/>
          </m:rPr>
          <m:t>≥</m:t>
        </m:r>
        <m:r>
          <m:t>9.0</m:t>
        </m:r>
      </m:oMath>
      <w:r>
        <w:t xml:space="preserve"> km/s,</w:t>
      </w:r>
      <w:r>
        <w:t xml:space="preserve"> </w:t>
      </w:r>
      <m:oMath>
        <m:r>
          <m:t>P</m:t>
        </m:r>
        <m:r>
          <m:rPr>
            <m:sty m:val="p"/>
          </m:rPr>
          <m:t>≥</m:t>
        </m:r>
        <m:r>
          <m:t>35</m:t>
        </m:r>
      </m:oMath>
      <w:r>
        <w:t xml:space="preserve"> GPa and Tanimoto novelty</w:t>
      </w:r>
      <w:r>
        <w:t xml:space="preserve"> </w:t>
      </w:r>
      <m:oMath>
        <m:r>
          <m:rPr>
            <m:sty m:val="p"/>
          </m:rPr>
          <m:t>≤</m:t>
        </m:r>
        <m:r>
          <m:t>0.55</m:t>
        </m:r>
      </m:oMath>
      <w:r>
        <w:t xml:space="preserve"> </w:t>
      </w:r>
      <w:r>
        <w:t xml:space="preserve">against every training row, validated through the four-stage chain SMARTS</w:t>
      </w:r>
      <w:r>
        <w:t xml:space="preserve"> </w:t>
      </w:r>
      <m:oMath>
        <m:r>
          <m:rPr>
            <m:sty m:val="p"/>
          </m:rPr>
          <m:t>→</m:t>
        </m:r>
      </m:oMath>
      <w:r>
        <w:t xml:space="preserve"> </w:t>
      </w:r>
      <w:r>
        <w:t xml:space="preserve">Pareto</w:t>
      </w:r>
      <w:r>
        <w:t xml:space="preserve"> </w:t>
      </w:r>
      <m:oMath>
        <m:r>
          <m:rPr>
            <m:sty m:val="p"/>
          </m:rPr>
          <m:t>→</m:t>
        </m:r>
      </m:oMath>
      <w:r>
        <w:t xml:space="preserve"> </w:t>
      </w:r>
      <w:r>
        <w:t xml:space="preserve">xTB</w:t>
      </w:r>
      <w:r>
        <w:t xml:space="preserve"> </w:t>
      </w:r>
      <m:oMath>
        <m:r>
          <m:rPr>
            <m:sty m:val="p"/>
          </m:rPr>
          <m:t>→</m:t>
        </m:r>
      </m:oMath>
      <w:r>
        <w:t xml:space="preserve"> </w:t>
      </w:r>
      <w:r>
        <w:t xml:space="preserve">DFT documented in §4.10 (Fig 14). Hyperparameters and the production configuration (CFG=7, pool</w:t>
      </w:r>
      <w:r>
        <w:t xml:space="preserve"> </w:t>
      </w:r>
      <m:oMath>
        <m:r>
          <m:rPr>
            <m:sty m:val="p"/>
          </m:rPr>
          <m:t>≥</m:t>
        </m:r>
      </m:oMath>
      <w:r>
        <w:t xml:space="preserve"> </w:t>
      </w:r>
      <w:r>
        <w:t xml:space="preserve">40k per denoiser, alpha-anneal disabled) are documented in §4.12 and Appendix B.5 (Table B.5) and are not re-derived here.</w:t>
      </w:r>
    </w:p>
    <w:bookmarkEnd w:id="100"/>
    <w:bookmarkStart w:id="108" w:name="X44f1f51bcdec0f0d500c05572a47919d181fce8"/>
    <w:p>
      <w:pPr>
        <w:pStyle w:val="Heading3"/>
        <w:keepNext/>
        <w:keepLines/>
        <w:widowControl w:val="1"/>
      </w:pPr>
      <w:r>
        <w:t xml:space="preserve">5.2 Top leads from the gated Pareto reranker (Stages 1+2)</w:t>
      </w:r>
    </w:p>
    <w:p>
      <w:pPr>
        <w:pStyle w:val="FirstParagraph"/>
        <w:jc w:val="both"/>
        <w:keepNext w:val="0"/>
        <w:keepLines w:val="0"/>
        <w:widowControl w:val="1"/>
      </w:pPr>
      <w:r>
        <w:t xml:space="preserve">Applying the §4.10 gated multi-objective reranker (hard filters, banded performance score, viability, novelty, sensitivity, alerts) to the pool=40 000 candidate set: of the top-400 single-objective candidates, 45 are rejected by the hard filters (poly-nitro-on-C2, MW &lt; 130, OB &gt; +25 %); the 355 survivors define a Pareto front of 34 candidates (Fig 20). The top-five Pareto leads are shown in Figure 19.</w:t>
      </w:r>
      <w:r>
        <w:t xml:space="preserve"> </w:t>
      </w:r>
      <w:r>
        <w:rPr>
          <w:b/>
          <w:bCs/>
        </w:rPr>
        <w:t xml:space="preserve">89/100 of the merged top-100 originate from the smallest unguided pool reranked by the Pareto scaffold composite</w:t>
      </w:r>
      <w:r>
        <w:t xml:space="preserve"> </w:t>
      </w:r>
      <w:r>
        <w:t xml:space="preserve">(the rank-1 trinitro-isoxazole itself comes from a guided run); guidance acts as a high-precision lever on the top of the funnel, not as the source of bulk Pareto coverage (source-pool breakdown in Appendix D.10).</w:t>
      </w:r>
    </w:p>
    <w:bookmarkStart w:id="104" w:name="fig-lead-cards-grid"/>
    <w:p>
      <w:pPr>
        <w:pStyle w:val="BodyText"/>
        <w:jc w:val="center"/>
        <w:keepNext/>
        <w:keepLines/>
        <w:widowControl w:val="1"/>
      </w:pPr>
      <w:r>
        <w:drawing>
          <wp:inline>
            <wp:extent cx="5943600" cy="5063204"/>
            <wp:effectExtent b="0" l="0" r="0" t="0"/>
            <wp:docPr descr="Twelve DGLD lead cards in a 3-by-4 grid" title="" id="102" name="Picture"/>
            <a:graphic>
              <a:graphicData uri="http://schemas.openxmlformats.org/drawingml/2006/picture">
                <pic:pic>
                  <pic:nvPicPr>
                    <pic:cNvPr descr="figs/fig_lead_cards_grid.png" id="103" name="Picture"/>
                    <pic:cNvPicPr>
                      <a:picLocks noChangeArrowheads="1" noChangeAspect="1"/>
                    </pic:cNvPicPr>
                  </pic:nvPicPr>
                  <pic:blipFill>
                    <a:blip r:embed="rId101"/>
                    <a:stretch>
                      <a:fillRect/>
                    </a:stretch>
                  </pic:blipFill>
                  <pic:spPr bwMode="auto">
                    <a:xfrm>
                      <a:off x="0" y="0"/>
                      <a:ext cx="5943600" cy="506320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19.</w:t>
      </w:r>
      <w:r>
        <w:t xml:space="preserve"> </w:t>
      </w:r>
      <w:r>
        <w:t xml:space="preserve">Twelve chem-pass DGLD leads (L1–L5, L9, L11, L13, L16, L18, L19, L20). Each card shows the RDKit 2D depiction, chemotype label, molecular formula, and 6-anchor-calibrated DFT/Kamlet–Jacobs (</w:t>
      </w:r>
      <m:oMath>
        <m:r>
          <m:t>ρ</m:t>
        </m:r>
      </m:oMath>
      <w:r>
        <w:t xml:space="preserve">,</w:t>
      </w:r>
      <w:r>
        <w:t xml:space="preserve"> </w:t>
      </w:r>
      <m:oMath>
        <m:r>
          <m:t>D</m:t>
        </m:r>
      </m:oMath>
      <w:r>
        <w:t xml:space="preserve">,</w:t>
      </w:r>
      <w:r>
        <w:t xml:space="preserve"> </w:t>
      </w:r>
      <m:oMath>
        <m:r>
          <m:t>P</m:t>
        </m:r>
      </m:oMath>
      <w:r>
        <w:t xml:space="preserve">) values. The dark circle (top-left) shows the Pareto rank within the merged top-100; “?” indicates a lead (L20) added from the pool=80k extension set and not assigned a top-100 rank. Top-5 leads (L1–L5) additionally show composite score</w:t>
      </w:r>
      <w:r>
        <w:t xml:space="preserve"> </w:t>
      </w:r>
      <m:oMath>
        <m:r>
          <m:t>S</m:t>
        </m:r>
      </m:oMath>
      <w:r>
        <w:t xml:space="preserve"> </w:t>
      </w:r>
      <w:r>
        <w:t xml:space="preserve">and drop-weight impact sensitivity</w:t>
      </w:r>
      <w:r>
        <w:t xml:space="preserve"> </w:t>
      </w:r>
      <m:oMath>
        <m:sSub>
          <m:e>
            <m:r>
              <m:t>h</m:t>
            </m:r>
          </m:e>
          <m:sub>
            <m:r>
              <m:t>50</m:t>
            </m:r>
          </m:sub>
        </m:sSub>
      </m:oMath>
      <w:r>
        <w:t xml:space="preserve">. Border colour: green = xTB HOMO–LUMO gap</w:t>
      </w:r>
      <w:r>
        <w:t xml:space="preserve"> </w:t>
      </w:r>
      <m:oMath>
        <m:r>
          <m:rPr>
            <m:sty m:val="p"/>
          </m:rPr>
          <m:t>≥</m:t>
        </m:r>
        <m:r>
          <m:t>1.5</m:t>
        </m:r>
      </m:oMath>
      <w:r>
        <w:t xml:space="preserve"> eV (electronic-stability pass); red = gap \(&lt; 1.5\) eV (electronic-stability fail).</w:t>
      </w:r>
    </w:p>
    <w:bookmarkEnd w:id="104"/>
    <w:p>
      <w:pPr>
        <w:pStyle w:val="BodyText"/>
        <w:jc w:val="both"/>
        <w:keepNext w:val="0"/>
        <w:keepLines w:val="0"/>
        <w:widowControl w:val="1"/>
      </w:pPr>
      <w:r>
        <w:t xml:space="preserve">The top-five leads (Figure 19, L1–L5) have viability 0.83–1.00, MW between 147 and 233 Da, and oxygen balance within ±15 %. Lead L1 is the aromatic trinitro-1,2-isoxazole, predicted at</w:t>
      </w:r>
      <w:r>
        <w:t xml:space="preserve"> </w:t>
      </w:r>
      <m:oMath>
        <m:r>
          <m:t>ρ</m:t>
        </m:r>
        <m:r>
          <m:rPr>
            <m:sty m:val="p"/>
          </m:rPr>
          <m:t>=</m:t>
        </m:r>
        <m:r>
          <m:t>2.00</m:t>
        </m:r>
      </m:oMath>
      <w:r>
        <w:t xml:space="preserve"> </w:t>
      </w:r>
      <w:r>
        <w:t xml:space="preserve">g/cm</w:t>
      </w:r>
      <w:r>
        <w:rPr>
          <w:vertAlign w:val="superscript"/>
        </w:rPr>
        <w:t xml:space="preserve">3</w:t>
      </w:r>
      <w:r>
        <w:t xml:space="preserve">,</w:t>
      </w:r>
      <w:r>
        <w:t xml:space="preserve"> </w:t>
      </w:r>
      <m:oMath>
        <m:r>
          <m:t>D</m:t>
        </m:r>
        <m:r>
          <m:rPr>
            <m:sty m:val="p"/>
          </m:rPr>
          <m:t>=</m:t>
        </m:r>
        <m:r>
          <m:t>9.56</m:t>
        </m:r>
      </m:oMath>
      <w:r>
        <w:t xml:space="preserve"> </w:t>
      </w:r>
      <w:r>
        <w:t xml:space="preserve">km/s,</w:t>
      </w:r>
      <w:r>
        <w:t xml:space="preserve"> </w:t>
      </w:r>
      <m:oMath>
        <m:r>
          <m:t>P</m:t>
        </m:r>
        <m:r>
          <m:rPr>
            <m:sty m:val="p"/>
          </m:rPr>
          <m:t>=</m:t>
        </m:r>
        <m:r>
          <m:t>40.5</m:t>
        </m:r>
      </m:oMath>
      <w:r>
        <w:t xml:space="preserve"> </w:t>
      </w:r>
      <w:r>
        <w:t xml:space="preserve">GPa, comparable to HMX. The Pareto front contains 34 candidates with composite</w:t>
      </w:r>
      <w:r>
        <w:t xml:space="preserve"> </w:t>
      </w:r>
      <m:oMath>
        <m:r>
          <m:rPr>
            <m:sty m:val="p"/>
          </m:rPr>
          <m:t>≥</m:t>
        </m:r>
      </m:oMath>
      <w:r>
        <w:t xml:space="preserve"> </w:t>
      </w:r>
      <w:r>
        <w:t xml:space="preserve">0.50 and viability</w:t>
      </w:r>
      <w:r>
        <w:t xml:space="preserve"> </w:t>
      </w:r>
      <m:oMath>
        <m:r>
          <m:rPr>
            <m:sty m:val="p"/>
          </m:rPr>
          <m:t>≥</m:t>
        </m:r>
      </m:oMath>
      <w:r>
        <w:t xml:space="preserve"> </w:t>
      </w:r>
      <w:r>
        <w:t xml:space="preserve">0.83 (Fig 20). Naive single-objective ranking (without the gating layer) puts a polynitro-on-C2 model-cheat at the top; the gates correctly reject it (full SMARTS-trace and rejected-candidate property tabulation in Appendix D.7).</w:t>
      </w:r>
    </w:p>
    <w:p>
      <w:pPr>
        <w:pStyle w:val="BodyText"/>
        <w:jc w:val="center"/>
        <w:keepNext/>
        <w:keepLines/>
        <w:widowControl w:val="1"/>
      </w:pPr>
      <w:r>
        <w:drawing>
          <wp:inline>
            <wp:extent cx="5943600" cy="3988623"/>
            <wp:effectExtent b="0" l="0" r="0" t="0"/>
            <wp:docPr descr="Pareto front of the gated reranker" title="" id="106" name="Picture"/>
            <a:graphic>
              <a:graphicData uri="http://schemas.openxmlformats.org/drawingml/2006/picture">
                <pic:pic>
                  <pic:nvPicPr>
                    <pic:cNvPr descr="figs/fig6_pareto_v2.png" id="107" name="Picture"/>
                    <pic:cNvPicPr>
                      <a:picLocks noChangeArrowheads="1" noChangeAspect="1"/>
                    </pic:cNvPicPr>
                  </pic:nvPicPr>
                  <pic:blipFill>
                    <a:blip r:embed="rId105"/>
                    <a:stretch>
                      <a:fillRect/>
                    </a:stretch>
                  </pic:blipFill>
                  <pic:spPr bwMode="auto">
                    <a:xfrm>
                      <a:off x="0" y="0"/>
                      <a:ext cx="5943600" cy="3988623"/>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20.</w:t>
      </w:r>
      <w:r>
        <w:t xml:space="preserve"> </w:t>
      </w:r>
      <w:r>
        <w:t xml:space="preserve">Filtered candidates (post hard-gate): saturating-performance score (x) vs. viability classifier output (y), coloured by sensitivity proxy. Stars mark the Pareto front.</w:t>
      </w:r>
    </w:p>
    <w:bookmarkEnd w:id="108"/>
    <w:bookmarkStart w:id="113" w:name="Xf6b2c372450e114420fe9f50105be8ff34efab6"/>
    <w:p>
      <w:pPr>
        <w:pStyle w:val="Heading3"/>
        <w:keepNext/>
        <w:keepLines/>
        <w:widowControl w:val="1"/>
      </w:pPr>
      <w:r>
        <w:t xml:space="preserve">5.3 Physics validation and DFT confirmation (Stages 3+4)</w:t>
      </w:r>
    </w:p>
    <w:p>
      <w:pPr>
        <w:pStyle w:val="FirstParagraph"/>
        <w:jc w:val="both"/>
        <w:keepNext w:val="0"/>
        <w:keepLines w:val="0"/>
        <w:widowControl w:val="1"/>
      </w:pPr>
      <w:r>
        <w:rPr>
          <w:b/>
          <w:bCs/>
        </w:rPr>
        <w:t xml:space="preserve">Stage 3 (xTB triage).</w:t>
      </w:r>
      <w:r>
        <w:t xml:space="preserve"> </w:t>
      </w:r>
      <w:r>
        <w:t xml:space="preserve">The merged top-100 from Stages 1+2 is the input to Stage 3 GFN2-xTB triage at the 1.5 eV HOMO–LUMO gap gate:</w:t>
      </w:r>
      <w:r>
        <w:t xml:space="preserve"> </w:t>
      </w:r>
      <w:r>
        <w:rPr>
          <w:b/>
          <w:bCs/>
        </w:rPr>
        <w:t xml:space="preserve">85/100 survive</w:t>
      </w:r>
      <w:r>
        <w:t xml:space="preserve">, and 6/8 of the smaller production gated top-8 also survive. The xTB triage agrees with the §6 chemistry-expert critique: open-chain and strained spiro candidates fall out as low-gap, while the aromatic isoxazole and small saturated heterocycles survive cleanly. The full xTB recipe (RDKit ETKDGv3 + MMFF94 + xTB</w:t>
      </w:r>
      <w:r>
        <w:t xml:space="preserve"> </w:t>
      </w:r>
      <w:r>
        <w:rPr>
          <w:rStyle w:val="VerbatimChar"/>
        </w:rPr>
        <w:t xml:space="preserve">--opt tight</w:t>
      </w:r>
      <w:r>
        <w:t xml:space="preserve">) is in Appendix C.12.</w:t>
      </w:r>
      <w:r>
        <w:t xml:space="preserve"> </w:t>
      </w:r>
      <w:r>
        <w:rPr>
          <w:b/>
          <w:bCs/>
        </w:rPr>
        <w:t xml:space="preserve">Pool-size dependence:</w:t>
      </w:r>
      <w:r>
        <w:t xml:space="preserve"> </w:t>
      </w:r>
      <w:r>
        <w:t xml:space="preserve">repeating the xTB triage on the gated top-15 of an unguided pool=80 000 run,</w:t>
      </w:r>
      <w:r>
        <w:t xml:space="preserve"> </w:t>
      </w:r>
      <w:r>
        <w:rPr>
          <w:b/>
          <w:bCs/>
        </w:rPr>
        <w:t xml:space="preserve">13/15 survive</w:t>
      </w:r>
      <w:r>
        <w:t xml:space="preserve"> </w:t>
      </w:r>
      <w:r>
        <w:t xml:space="preserve">the same gate, indicating that classifier guidance can drive the sampler into modes that score high on learned proxies but fail at frontier-orbital electronic stability; a larger unguided pool with the same gating produces a more physically-credible final set.</w:t>
      </w:r>
    </w:p>
    <w:p>
      <w:pPr>
        <w:pStyle w:val="BodyText"/>
        <w:jc w:val="both"/>
        <w:keepNext w:val="0"/>
        <w:keepLines w:val="0"/>
        <w:widowControl w:val="1"/>
      </w:pPr>
      <w:r>
        <w:rPr>
          <w:b/>
          <w:bCs/>
        </w:rPr>
        <w:t xml:space="preserve">Stage 4 (DFT audit).</w:t>
      </w:r>
      <w:r>
        <w:t xml:space="preserve"> </w:t>
      </w:r>
      <w:r>
        <w:t xml:space="preserve">First-principles DFT audit at B3LYP/6-31G(d) optimisation +</w:t>
      </w:r>
      <w:r>
        <w:t xml:space="preserve"> </w:t>
      </w:r>
      <m:oMath>
        <m:r>
          <m:t>ω</m:t>
        </m:r>
      </m:oMath>
      <w:r>
        <w:t xml:space="preserve">B97X-D3BJ/def2-TZVP single-point on the 12 chem-pass leads alongside two anchors (RDX, TATB) using GPU4PySCF (density from Bondi van-der-Waals integration with packing 0.69).</w:t>
      </w:r>
      <w:r>
        <w:t xml:space="preserve"> </w:t>
      </w:r>
      <w:r>
        <w:rPr>
          <w:b/>
          <w:bCs/>
        </w:rPr>
        <w:t xml:space="preserve">All twelve chem-pass leads + two anchors are real local minima</w:t>
      </w:r>
      <w:r>
        <w:t xml:space="preserve"> </w:t>
      </w:r>
      <w:r>
        <w:t xml:space="preserve">(no imaginary frequencies; min real modes 9–52 cm</w:t>
      </w:r>
      <w:r>
        <w:rPr>
          <w:vertAlign w:val="superscript"/>
        </w:rPr>
        <w:t xml:space="preserve">−1</w:t>
      </w:r>
      <w:r>
        <w:t xml:space="preserve">); three SMARTS-rejected reference scaffolds (R2, R3, R14) optimised under the same protocol are in Appendix C.5. The 73 candidates that pass Stage 3 but not Stage 4 are accounted for in Appendix C.5 (45 rejected by Stage 2 hard filters; 28 fail K-J/imaginary-frequency/composition gates).</w:t>
      </w:r>
    </w:p>
    <w:p>
      <w:pPr>
        <w:pStyle w:val="BodyText"/>
        <w:jc w:val="both"/>
        <w:keepNext w:val="0"/>
        <w:keepLines w:val="0"/>
        <w:widowControl w:val="1"/>
      </w:pPr>
      <w:r>
        <w:rPr>
          <w:b/>
          <w:bCs/>
        </w:rPr>
        <w:t xml:space="preserve">6-anchor calibration.</w:t>
      </w:r>
      <w:r>
        <w:t xml:space="preserve"> </w:t>
      </w:r>
      <w:r>
        <w:t xml:space="preserve">A linear 6-anchor (RDX, TATB, HMX, PETN, FOX-7, NTO) calibration gives</w:t>
      </w:r>
      <w:r>
        <w:t xml:space="preserve"> </w:t>
      </w:r>
      <m:oMath>
        <m:sSub>
          <m:e>
            <m:r>
              <m:t>ρ</m:t>
            </m:r>
          </m:e>
          <m:sub>
            <m:r>
              <m:rPr>
                <m:nor/>
                <m:sty m:val="p"/>
              </m:rPr>
              <m:t>cal</m:t>
            </m:r>
          </m:sub>
        </m:sSub>
        <m:r>
          <m:rPr>
            <m:sty m:val="p"/>
          </m:rPr>
          <m:t>=</m:t>
        </m:r>
        <m:r>
          <m:t>1.392</m:t>
        </m:r>
        <m:r>
          <m:t> </m:t>
        </m:r>
        <m:sSub>
          <m:e>
            <m:r>
              <m:t>ρ</m:t>
            </m:r>
          </m:e>
          <m:sub>
            <m:r>
              <m:rPr>
                <m:nor/>
                <m:sty m:val="p"/>
              </m:rPr>
              <m:t>DFT</m:t>
            </m:r>
          </m:sub>
        </m:sSub>
        <m:r>
          <m:rPr>
            <m:sty m:val="p"/>
          </m:rPr>
          <m:t>−</m:t>
        </m:r>
        <m:r>
          <m:t>0.415</m:t>
        </m:r>
      </m:oMath>
      <w:r>
        <w:t xml:space="preserve"> </w:t>
      </w:r>
      <w:r>
        <w:t xml:space="preserve">and HOF</w:t>
      </w:r>
      <m:oMath>
        <m:sSub>
          <m:e>
            <m:r>
              <m:t>​</m:t>
            </m:r>
          </m:e>
          <m:sub>
            <m:r>
              <m:rPr>
                <m:nor/>
                <m:sty m:val="p"/>
              </m:rPr>
              <m:t>cal</m:t>
            </m:r>
          </m:sub>
        </m:sSub>
        <m:r>
          <m:rPr>
            <m:sty m:val="p"/>
          </m:rPr>
          <m:t>=</m:t>
        </m:r>
      </m:oMath>
      <w:r>
        <w:t xml:space="preserve">HOF</w:t>
      </w:r>
      <m:oMath>
        <m:sSub>
          <m:e>
            <m:r>
              <m:t>​</m:t>
            </m:r>
          </m:e>
          <m:sub>
            <m:r>
              <m:rPr>
                <m:nor/>
                <m:sty m:val="p"/>
              </m:rPr>
              <m:t>DFT</m:t>
            </m:r>
          </m:sub>
        </m:sSub>
        <m:r>
          <m:rPr>
            <m:sty m:val="p"/>
          </m:rPr>
          <m:t>−</m:t>
        </m:r>
        <m:r>
          <m:t>206.7</m:t>
        </m:r>
      </m:oMath>
      <w:r>
        <w:t xml:space="preserve"> kJ/mol, with leave-one-out RMS</w:t>
      </w:r>
      <w:r>
        <w:t xml:space="preserve"> </w:t>
      </w:r>
      <m:oMath>
        <m:r>
          <m:rPr>
            <m:sty m:val="p"/>
          </m:rPr>
          <m:t>±</m:t>
        </m:r>
        <m:r>
          <m:t>0.078</m:t>
        </m:r>
      </m:oMath>
      <w:r>
        <w:t xml:space="preserve"> g/cm</w:t>
      </w:r>
      <w:r>
        <w:rPr>
          <w:vertAlign w:val="superscript"/>
        </w:rPr>
        <w:t xml:space="preserve">3</w:t>
      </w:r>
      <w:r>
        <w:t xml:space="preserve"> </w:t>
      </w:r>
      <w:r>
        <w:t xml:space="preserve">on</w:t>
      </w:r>
      <w:r>
        <w:t xml:space="preserve"> </w:t>
      </w:r>
      <m:oMath>
        <m:r>
          <m:t>ρ</m:t>
        </m:r>
      </m:oMath>
      <w:r>
        <w:t xml:space="preserve"> </w:t>
      </w:r>
      <w:r>
        <w:t xml:space="preserve">and</w:t>
      </w:r>
      <w:r>
        <w:t xml:space="preserve"> </w:t>
      </w:r>
      <m:oMath>
        <m:r>
          <m:rPr>
            <m:sty m:val="p"/>
          </m:rPr>
          <m:t>±</m:t>
        </m:r>
        <m:r>
          <m:t>64.6</m:t>
        </m:r>
      </m:oMath>
      <w:r>
        <w:t xml:space="preserve"> kJ/mol on HOF (full intercept derivation in Appendix C.1–C.3). Calibrated densities span</w:t>
      </w:r>
      <w:r>
        <w:t xml:space="preserve"> </w:t>
      </w:r>
      <m:oMath>
        <m:sSub>
          <m:e>
            <m:r>
              <m:t>ρ</m:t>
            </m:r>
          </m:e>
          <m:sub>
            <m:r>
              <m:rPr>
                <m:nor/>
                <m:sty m:val="p"/>
              </m:rPr>
              <m:t>cal</m:t>
            </m:r>
          </m:sub>
        </m:sSub>
        <m:r>
          <m:rPr>
            <m:sty m:val="p"/>
          </m:rPr>
          <m:t>∈</m:t>
        </m:r>
        <m:r>
          <m:rPr>
            <m:sty m:val="p"/>
          </m:rPr>
          <m:t>[</m:t>
        </m:r>
        <m:r>
          <m:t>1.84</m:t>
        </m:r>
        <m:r>
          <m:rPr>
            <m:sty m:val="p"/>
          </m:rPr>
          <m:t>,</m:t>
        </m:r>
        <m:r>
          <m:t>2.09</m:t>
        </m:r>
        <m:r>
          <m:rPr>
            <m:sty m:val="p"/>
          </m:rPr>
          <m:t>]</m:t>
        </m:r>
      </m:oMath>
      <w:r>
        <w:t xml:space="preserve"> g/cm</w:t>
      </w:r>
      <w:r>
        <w:rPr>
          <w:vertAlign w:val="superscript"/>
        </w:rPr>
        <w:t xml:space="preserve">3</w:t>
      </w:r>
      <w:r>
        <w:t xml:space="preserve">;</w:t>
      </w:r>
      <w:r>
        <w:t xml:space="preserve"> </w:t>
      </w:r>
      <w:r>
        <w:rPr>
          <w:b/>
          <w:bCs/>
        </w:rPr>
        <w:t xml:space="preserve">L1 raw DFT</w:t>
      </w:r>
      <w:r>
        <w:rPr>
          <w:b/>
          <w:bCs/>
        </w:rPr>
        <w:t xml:space="preserve"> </w:t>
      </w:r>
      <m:oMath>
        <m:sSub>
          <m:e>
            <m:r>
              <m:t>ρ</m:t>
            </m:r>
          </m:e>
          <m:sub>
            <m:r>
              <m:rPr>
                <m:nor/>
                <m:sty m:val="p"/>
              </m:rPr>
              <m:t>DFT</m:t>
            </m:r>
          </m:sub>
        </m:sSub>
        <m:r>
          <m:rPr>
            <m:sty m:val="p"/>
          </m:rPr>
          <m:t>=</m:t>
        </m:r>
        <m:r>
          <m:t>1.80</m:t>
        </m:r>
      </m:oMath>
      <w:r>
        <w:rPr>
          <w:b/>
          <w:bCs/>
        </w:rPr>
        <w:t xml:space="preserve"> </w:t>
      </w:r>
      <w:r>
        <w:rPr>
          <w:b/>
          <w:bCs/>
        </w:rPr>
        <w:t xml:space="preserve">calibrates to</w:t>
      </w:r>
      <w:r>
        <w:rPr>
          <w:b/>
          <w:bCs/>
        </w:rPr>
        <w:t xml:space="preserve"> </w:t>
      </w:r>
      <m:oMath>
        <m:sSub>
          <m:e>
            <m:r>
              <m:t>ρ</m:t>
            </m:r>
          </m:e>
          <m:sub>
            <m:r>
              <m:rPr>
                <m:nor/>
                <m:sty m:val="p"/>
              </m:rPr>
              <m:t>cal</m:t>
            </m:r>
          </m:sub>
        </m:sSub>
        <m:r>
          <m:rPr>
            <m:sty m:val="p"/>
          </m:rPr>
          <m:t>=</m:t>
        </m:r>
        <m:r>
          <m:t>2.09</m:t>
        </m:r>
      </m:oMath>
      <w:r>
        <w:rPr>
          <w:b/>
          <w:bCs/>
        </w:rPr>
        <w:t xml:space="preserve"> g/cm</w:t>
      </w:r>
      <w:r>
        <w:rPr>
          <w:b/>
          <w:bCs/>
          <w:vertAlign w:val="superscript"/>
        </w:rPr>
        <w:t xml:space="preserve">3</w:t>
      </w:r>
      <w:r>
        <w:t xml:space="preserve"> </w:t>
      </w:r>
      <w:r>
        <w:t xml:space="preserve">(the highest of the set), and its raw HOF</w:t>
      </w:r>
      <m:oMath>
        <m:sSub>
          <m:e>
            <m:r>
              <m:t>​</m:t>
            </m:r>
          </m:e>
          <m:sub>
            <m:r>
              <m:rPr>
                <m:nor/>
                <m:sty m:val="p"/>
              </m:rPr>
              <m:t>DFT</m:t>
            </m:r>
          </m:sub>
        </m:sSub>
        <m:r>
          <m:rPr>
            <m:sty m:val="p"/>
          </m:rPr>
          <m:t>=</m:t>
        </m:r>
        <m:r>
          <m:rPr>
            <m:sty m:val="p"/>
          </m:rPr>
          <m:t>+</m:t>
        </m:r>
        <m:r>
          <m:t>229.5</m:t>
        </m:r>
      </m:oMath>
      <w:r>
        <w:t xml:space="preserve"> kJ/mol calibrates to</w:t>
      </w:r>
      <w:r>
        <w:t xml:space="preserve"> </w:t>
      </w:r>
      <m:oMath>
        <m:r>
          <m:rPr>
            <m:sty m:val="p"/>
          </m:rPr>
          <m:t>+</m:t>
        </m:r>
        <m:r>
          <m:t>22.9</m:t>
        </m:r>
      </m:oMath>
      <w:r>
        <w:t xml:space="preserve"> kJ/mol.</w:t>
      </w:r>
    </w:p>
    <w:p>
      <w:pPr>
        <w:pStyle w:val="BodyText"/>
        <w:jc w:val="both"/>
        <w:keepNext w:val="0"/>
        <w:keepLines w:val="0"/>
        <w:widowControl w:val="1"/>
      </w:pPr>
      <w:r>
        <w:rPr>
          <w:b/>
          <w:bCs/>
        </w:rPr>
        <w:t xml:space="preserve">Kamlet–Jacobs recompute and headline corroboration.</w:t>
      </w:r>
      <w:r>
        <w:t xml:space="preserve"> </w:t>
      </w:r>
      <w:r>
        <w:t xml:space="preserve">Two K-J applications appear: (i) per-lead calibrated branch (Table 3): K-J on DFT-calibrated</w:t>
      </w:r>
      <w:r>
        <w:t xml:space="preserve"> </w:t>
      </w:r>
      <m:oMath>
        <m:r>
          <m:rPr>
            <m:sty m:val="p"/>
          </m:rPr>
          <m:t>(</m:t>
        </m:r>
        <m:sSub>
          <m:e>
            <m:r>
              <m:t>ρ</m:t>
            </m:r>
          </m:e>
          <m:sub>
            <m:r>
              <m:rPr>
                <m:nor/>
                <m:sty m:val="p"/>
              </m:rPr>
              <m:t>cal</m:t>
            </m:r>
          </m:sub>
        </m:sSub>
        <m:r>
          <m:rPr>
            <m:sty m:val="p"/>
          </m:rPr>
          <m:t>,</m:t>
        </m:r>
        <m:r>
          <m:t> </m:t>
        </m:r>
        <m:sSub>
          <m:e>
            <m:r>
              <m:rPr>
                <m:nor/>
                <m:sty m:val="p"/>
              </m:rPr>
              <m:t>HOF</m:t>
            </m:r>
          </m:e>
          <m:sub>
            <m:r>
              <m:rPr>
                <m:nor/>
                <m:sty m:val="p"/>
              </m:rPr>
              <m:t>cal</m:t>
            </m:r>
          </m:sub>
        </m:sSub>
        <m:r>
          <m:rPr>
            <m:sty m:val="p"/>
          </m:rPr>
          <m:t>)</m:t>
        </m:r>
      </m:oMath>
      <w:r>
        <w:t xml:space="preserve"> </w:t>
      </w:r>
      <w:r>
        <w:t xml:space="preserve">for ranking; (ii) population residual branch (Table C.4): K-J on raw experimental</w:t>
      </w:r>
      <w:r>
        <w:t xml:space="preserve"> </w:t>
      </w:r>
      <m:oMath>
        <m:r>
          <m:rPr>
            <m:sty m:val="p"/>
          </m:rPr>
          <m:t>(</m:t>
        </m:r>
        <m:r>
          <m:t>ρ</m:t>
        </m:r>
        <m:r>
          <m:rPr>
            <m:sty m:val="p"/>
          </m:rPr>
          <m:t>,</m:t>
        </m:r>
        <m:r>
          <m:t> </m:t>
        </m:r>
        <m:r>
          <m:rPr>
            <m:nor/>
            <m:sty m:val="p"/>
          </m:rPr>
          <m:t>HOF</m:t>
        </m:r>
        <m:r>
          <m:rPr>
            <m:sty m:val="p"/>
          </m:rPr>
          <m:t>)</m:t>
        </m:r>
      </m:oMath>
      <w:r>
        <w:t xml:space="preserve"> </w:t>
      </w:r>
      <w:r>
        <w:t xml:space="preserve">from 575 Tier-A labelled rows to quantify K-J under-prediction at high N-fraction. Calibrated K-J velocities span</w:t>
      </w:r>
      <w:r>
        <w:t xml:space="preserve"> </w:t>
      </w:r>
      <m:oMath>
        <m:r>
          <m:t>6.71</m:t>
        </m:r>
      </m:oMath>
      <w:r>
        <w:t xml:space="preserve">–</w:t>
      </w:r>
      <m:oMath>
        <m:r>
          <m:t>8.25</m:t>
        </m:r>
      </m:oMath>
      <w:r>
        <w:t xml:space="preserve"> km/s across the 12 chem-pass leads.</w:t>
      </w:r>
      <w:r>
        <w:t xml:space="preserve"> </w:t>
      </w:r>
      <w:r>
        <w:rPr>
          <w:b/>
          <w:bCs/>
        </w:rPr>
        <w:t xml:space="preserve">L1 calibrated K-J</w:t>
      </w:r>
      <w:r>
        <w:rPr>
          <w:b/>
          <w:bCs/>
        </w:rPr>
        <w:t xml:space="preserve"> </w:t>
      </w:r>
      <m:oMath>
        <m:r>
          <m:t>D</m:t>
        </m:r>
        <m:r>
          <m:rPr>
            <m:sty m:val="p"/>
          </m:rPr>
          <m:t>=</m:t>
        </m:r>
        <m:r>
          <m:t>8.25</m:t>
        </m:r>
      </m:oMath>
      <w:r>
        <w:rPr>
          <w:b/>
          <w:bCs/>
        </w:rPr>
        <w:t xml:space="preserve"> km/s; the 1.31 km/s residual to the 3D-CNN surrogate (9.56 km/s) is larger than the K-J anchor residuals in L1's own composition regime</w:t>
      </w:r>
      <w:r>
        <w:t xml:space="preserve"> </w:t>
      </w:r>
      <w:r>
        <w:t xml:space="preserve">(L1:</w:t>
      </w:r>
      <w:r>
        <w:t xml:space="preserve"> </w:t>
      </w:r>
      <m:oMath>
        <m:sSub>
          <m:e>
            <m:r>
              <m:t>f</m:t>
            </m:r>
          </m:e>
          <m:sub>
            <m:r>
              <m:t>N</m:t>
            </m:r>
          </m:sub>
        </m:sSub>
        <m:r>
          <m:rPr>
            <m:sty m:val="p"/>
          </m:rPr>
          <m:t>≈</m:t>
        </m:r>
        <m:r>
          <m:t>0.29</m:t>
        </m:r>
      </m:oMath>
      <w:r>
        <w:t xml:space="preserve">, OB</w:t>
      </w:r>
      <w:r>
        <w:t xml:space="preserve"> </w:t>
      </w:r>
      <m:oMath>
        <m:r>
          <m:rPr>
            <m:sty m:val="p"/>
          </m:rPr>
          <m:t>≈</m:t>
        </m:r>
        <m:r>
          <m:rPr>
            <m:sty m:val="p"/>
          </m:rPr>
          <m:t>+</m:t>
        </m:r>
        <m:r>
          <m:t>8</m:t>
        </m:r>
        <m:r>
          <m:t> </m:t>
        </m:r>
        <m:r>
          <m:rPr>
            <m:sty m:val="p"/>
          </m:rPr>
          <m:t>%</m:t>
        </m:r>
      </m:oMath>
      <w:r>
        <w:t xml:space="preserve">, placing it in PETN's K-J-reliable regime, not the high-N RDX/HMX/FOX-7 under-prediction band). Note that L1's OB sits at the upper boundary of the standard oxygen-deficient regime (</w:t>
      </w:r>
      <m:oMath>
        <m:r>
          <m:t>d</m:t>
        </m:r>
        <m:r>
          <m:rPr>
            <m:sty m:val="p"/>
          </m:rPr>
          <m:t>=</m:t>
        </m:r>
        <m:r>
          <m:t>2</m:t>
        </m:r>
        <m:r>
          <m:t>a</m:t>
        </m:r>
        <m:r>
          <m:rPr>
            <m:sty m:val="p"/>
          </m:rPr>
          <m:t>+</m:t>
        </m:r>
        <m:r>
          <m:t>b</m:t>
        </m:r>
        <m:r>
          <m:rPr>
            <m:sty m:val="p"/>
          </m:rPr>
          <m:t>/</m:t>
        </m:r>
        <m:r>
          <m:t>2</m:t>
        </m:r>
        <m:r>
          <m:rPr>
            <m:sty m:val="p"/>
          </m:rPr>
          <m:t>=</m:t>
        </m:r>
        <m:r>
          <m:t>6</m:t>
        </m:r>
      </m:oMath>
      <w:r>
        <w:t xml:space="preserve"> </w:t>
      </w:r>
      <w:r>
        <w:t xml:space="preserve">vs L1's</w:t>
      </w:r>
      <w:r>
        <w:t xml:space="preserve"> </w:t>
      </w:r>
      <m:oMath>
        <m:r>
          <m:t>d</m:t>
        </m:r>
        <m:r>
          <m:rPr>
            <m:sty m:val="p"/>
          </m:rPr>
          <m:t>=</m:t>
        </m:r>
        <m:r>
          <m:t>7</m:t>
        </m:r>
      </m:oMath>
      <w:r>
        <w:t xml:space="preserve">); we apply Kamlet–Jacobs in its unified product-distribution form (the standard treatment for mildly oxygen-rich CHNO; see Kamlet–Jacobs 1968 §III). The 1.31 km/s gap is therefore plausibly 3D-CNN surrogate over-prediction in the sparsely-represented polynitroisoxazole region rather than K-J failure. The DFT-K-J recompute places L1 in the HMX-class regime by</w:t>
      </w:r>
      <w:r>
        <w:t xml:space="preserve"> </w:t>
      </w:r>
      <w:r>
        <w:rPr>
          <w:i/>
          <w:iCs/>
        </w:rPr>
        <w:t xml:space="preserve">relative ranking against anchors</w:t>
      </w:r>
      <w:r>
        <w:t xml:space="preserve">; absolute</w:t>
      </w:r>
      <w:r>
        <w:t xml:space="preserve"> </w:t>
      </w:r>
      <m:oMath>
        <m:r>
          <m:t>D</m:t>
        </m:r>
      </m:oMath>
      <w:r>
        <w:t xml:space="preserve"> </w:t>
      </w:r>
      <w:r>
        <w:t xml:space="preserve">values require a thermochemical-equilibrium covolume solver (§6). Full K-J residual decomposition (PETN/NTO chemistry;</w:t>
      </w:r>
      <w:r>
        <w:t xml:space="preserve"> </w:t>
      </w:r>
      <m:oMath>
        <m:r>
          <m:t>r</m:t>
        </m:r>
        <m:r>
          <m:rPr>
            <m:sty m:val="p"/>
          </m:rPr>
          <m:t>(</m:t>
        </m:r>
        <m:sSub>
          <m:e>
            <m:r>
              <m:t>f</m:t>
            </m:r>
          </m:e>
          <m:sub>
            <m:r>
              <m:t>N</m:t>
            </m:r>
          </m:sub>
        </m:sSub>
        <m:r>
          <m:rPr>
            <m:sty m:val="p"/>
          </m:rPr>
          <m:t>,</m:t>
        </m:r>
        <m:r>
          <m:rPr>
            <m:nor/>
            <m:sty m:val="p"/>
          </m:rPr>
          <m:t>residual</m:t>
        </m:r>
        <m:r>
          <m:rPr>
            <m:sty m:val="p"/>
          </m:rPr>
          <m:t>)</m:t>
        </m:r>
        <m:r>
          <m:rPr>
            <m:sty m:val="p"/>
          </m:rPr>
          <m:t>=</m:t>
        </m:r>
        <m:r>
          <m:rPr>
            <m:sty m:val="p"/>
          </m:rPr>
          <m:t>+</m:t>
        </m:r>
        <m:r>
          <m:t>0.43</m:t>
        </m:r>
      </m:oMath>
      <w:r>
        <w:t xml:space="preserve">,</w:t>
      </w:r>
      <w:r>
        <w:t xml:space="preserve"> </w:t>
      </w:r>
      <m:oMath>
        <m:r>
          <m:t>p</m:t>
        </m:r>
        <m:r>
          <m:rPr>
            <m:sty m:val="p"/>
          </m:rPr>
          <m:t>=</m:t>
        </m:r>
        <m:r>
          <m:t>4</m:t>
        </m:r>
        <m:r>
          <m:rPr>
            <m:sty m:val="p"/>
          </m:rPr>
          <m:t>×</m:t>
        </m:r>
        <m:sSup>
          <m:e>
            <m:r>
              <m:t>10</m:t>
            </m:r>
          </m:e>
          <m:sup>
            <m:r>
              <m:rPr>
                <m:sty m:val="p"/>
              </m:rPr>
              <m:t>−</m:t>
            </m:r>
            <m:r>
              <m:t>27</m:t>
            </m:r>
          </m:sup>
        </m:sSup>
      </m:oMath>
      <w:r>
        <w:t xml:space="preserve"> </w:t>
      </w:r>
      <w:r>
        <w:t xml:space="preserve">on 575 Tier-A rows) is in Appendix C.6–C.7. An independent Cantera ideal-gas CJ recompute ranks L1, L4, L5 as RDX-class; absolute</w:t>
      </w:r>
      <w:r>
        <w:t xml:space="preserve"> </w:t>
      </w:r>
      <m:oMath>
        <m:r>
          <m:t>D</m:t>
        </m:r>
      </m:oMath>
      <w:r>
        <w:t xml:space="preserve"> </w:t>
      </w:r>
      <w:r>
        <w:t xml:space="preserve">values require BKW/JCZ3 covolume corrections (§6), full discussion in Appendix C.13.</w:t>
      </w:r>
    </w:p>
    <w:bookmarkStart w:id="112" w:name="fig-dft-dumbbell"/>
    <w:p>
      <w:pPr>
        <w:pStyle w:val="BodyText"/>
        <w:jc w:val="center"/>
        <w:keepNext/>
        <w:keepLines/>
        <w:widowControl w:val="1"/>
      </w:pPr>
      <w:r>
        <w:drawing>
          <wp:inline>
            <wp:extent cx="5943600" cy="2667190"/>
            <wp:effectExtent b="0" l="0" r="0" t="0"/>
            <wp:docPr descr="DFT dumbbell + N-fraction residual scatter" title="" id="110" name="Picture"/>
            <a:graphic>
              <a:graphicData uri="http://schemas.openxmlformats.org/drawingml/2006/picture">
                <pic:pic>
                  <pic:nvPicPr>
                    <pic:cNvPr descr="figs/fig_dft_dumbbell.png" id="111" name="Picture"/>
                    <pic:cNvPicPr>
                      <a:picLocks noChangeArrowheads="1" noChangeAspect="1"/>
                    </pic:cNvPicPr>
                  </pic:nvPicPr>
                  <pic:blipFill>
                    <a:blip r:embed="rId109"/>
                    <a:stretch>
                      <a:fillRect/>
                    </a:stretch>
                  </pic:blipFill>
                  <pic:spPr bwMode="auto">
                    <a:xfrm>
                      <a:off x="0" y="0"/>
                      <a:ext cx="5943600" cy="2667190"/>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21.</w:t>
      </w:r>
      <w:r>
        <w:t xml:space="preserve"> </w:t>
      </w:r>
      <w:r>
        <w:t xml:space="preserve">Left: dumbbell plot connecting 3D-CNN-predicted</w:t>
      </w:r>
      <w:r>
        <w:t xml:space="preserve"> </w:t>
      </w:r>
      <m:oMath>
        <m:r>
          <m:t>D</m:t>
        </m:r>
      </m:oMath>
      <w:r>
        <w:t xml:space="preserve"> </w:t>
      </w:r>
      <w:r>
        <w:t xml:space="preserve">(blue) to anchor-calibrated DFT–K-J</w:t>
      </w:r>
      <w:r>
        <w:t xml:space="preserve"> </w:t>
      </w:r>
      <m:oMath>
        <m:r>
          <m:t>D</m:t>
        </m:r>
      </m:oMath>
      <w:r>
        <w:t xml:space="preserve"> </w:t>
      </w:r>
      <w:r>
        <w:t xml:space="preserve">(orange) for each DFT-converged lead; dotted green line is the HMX-class 9.0 km/s threshold. Right: residual vs N-fraction with linear fit and Pearson</w:t>
      </w:r>
      <w:r>
        <w:t xml:space="preserve"> </w:t>
      </w:r>
      <m:oMath>
        <m:r>
          <m:t>r</m:t>
        </m:r>
      </m:oMath>
      <w:r>
        <w:t xml:space="preserve"> </w:t>
      </w:r>
      <w:r>
        <w:t xml:space="preserve">(575-row Tier-A pool, see Table C.4).</w:t>
      </w:r>
    </w:p>
    <w:bookmarkEnd w:id="112"/>
    <w:p>
      <w:pPr>
        <w:pStyle w:val="BodyText"/>
        <w:jc w:val="both"/>
        <w:keepNext w:val="0"/>
        <w:keepLines w:val="0"/>
        <w:widowControl w:val="1"/>
      </w:pPr>
      <w:r>
        <w:rPr>
          <w:b/>
          <w:bCs/>
        </w:rPr>
        <w:t xml:space="preserve">Cross-check on SMARTS-rejected candidates.</w:t>
      </w:r>
      <w:r>
        <w:t xml:space="preserve"> </w:t>
      </w:r>
      <w:r>
        <w:t xml:space="preserve">The same DFT pipeline applied to three of the 23 SMARTS-rejected candidates (rank-2 N-nitroimine, rank-3 polyazene, rank-14 azo-amino-nitrate) finds them to be real geometric minima at B3LYP/6-31G* (min real frequencies 33–47 cm</w:t>
      </w:r>
      <w:r>
        <w:rPr>
          <w:vertAlign w:val="superscript"/>
        </w:rPr>
        <w:t xml:space="preserve">−1</w:t>
      </w:r>
      <w:r>
        <w:t xml:space="preserve">). The chemist rejection is motif-level (shock-sensitivity, friction-trigger risks beyond gas-phase DFT), not geometric:</w:t>
      </w:r>
      <w:r>
        <w:t xml:space="preserve"> </w:t>
      </w:r>
      <w:r>
        <w:rPr>
          <w:b/>
          <w:bCs/>
        </w:rPr>
        <w:t xml:space="preserve">the SMARTS and DFT layers are complementary, not redundant</w:t>
      </w:r>
      <w:r>
        <w:t xml:space="preserve">. The hazard-head post-hoc filtering recovers all 23 SMARTS rejects with perfect recall by construction and exposes 66 additional candidates on which the SMARTS catalog is silent (Appendix D.12).</w:t>
      </w:r>
    </w:p>
    <w:p>
      <w:pPr>
        <w:pStyle w:val="TableCaption"/>
        <w:spacing w:before="160" w:after="60" w:line="240" w:lineRule="auto"/>
        <w:jc w:val="center"/>
        <w:keepNext/>
        <w:keepLines/>
        <w:widowControl w:val="1"/>
      </w:pPr>
      <w:r>
        <w:rPr>
          <w:b/>
          <w:bCs/>
        </w:rPr>
        <w:t xml:space="preserve">Table 2.</w:t>
      </w:r>
      <w:r>
        <w:t xml:space="preserve"> </w:t>
      </w:r>
      <w:r>
        <w:t xml:space="preserve">6-anchor DFT calibration (RDX, TATB, HMX, PETN, FOX-7, NTO). Linear corrections</w:t>
      </w:r>
      <w:r>
        <w:t xml:space="preserve"> </w:t>
      </w:r>
      <m:oMath>
        <m:sSub>
          <m:e>
            <m:r>
              <m:t>ρ</m:t>
            </m:r>
          </m:e>
          <m:sub>
            <m:r>
              <m:rPr>
                <m:nor/>
                <m:sty m:val="p"/>
              </m:rPr>
              <m:t>cal</m:t>
            </m:r>
          </m:sub>
        </m:sSub>
        <m:r>
          <m:rPr>
            <m:sty m:val="p"/>
          </m:rPr>
          <m:t>=</m:t>
        </m:r>
        <m:r>
          <m:t>1.392</m:t>
        </m:r>
        <m:r>
          <m:t> </m:t>
        </m:r>
        <m:sSub>
          <m:e>
            <m:r>
              <m:t>ρ</m:t>
            </m:r>
          </m:e>
          <m:sub>
            <m:r>
              <m:rPr>
                <m:nor/>
                <m:sty m:val="p"/>
              </m:rPr>
              <m:t>DFT</m:t>
            </m:r>
          </m:sub>
        </m:sSub>
        <m:r>
          <m:rPr>
            <m:sty m:val="p"/>
          </m:rPr>
          <m:t>−</m:t>
        </m:r>
        <m:r>
          <m:t>0.415</m:t>
        </m:r>
      </m:oMath>
      <w:r>
        <w:t xml:space="preserve"> </w:t>
      </w:r>
      <w:r>
        <w:t xml:space="preserve">and HOF</w:t>
      </w:r>
      <m:oMath>
        <m:sSub>
          <m:e>
            <m:r>
              <m:t>​</m:t>
            </m:r>
          </m:e>
          <m:sub>
            <m:r>
              <m:rPr>
                <m:nor/>
                <m:sty m:val="p"/>
              </m:rPr>
              <m:t>cal</m:t>
            </m:r>
          </m:sub>
        </m:sSub>
        <m:r>
          <m:rPr>
            <m:sty m:val="p"/>
          </m:rPr>
          <m:t>=</m:t>
        </m:r>
      </m:oMath>
      <w:r>
        <w:t xml:space="preserve">HOF</w:t>
      </w:r>
      <m:oMath>
        <m:sSub>
          <m:e>
            <m:r>
              <m:t>​</m:t>
            </m:r>
          </m:e>
          <m:sub>
            <m:r>
              <m:rPr>
                <m:nor/>
                <m:sty m:val="p"/>
              </m:rPr>
              <m:t>DFT</m:t>
            </m:r>
          </m:sub>
        </m:sSub>
        <m:r>
          <m:rPr>
            <m:sty m:val="p"/>
          </m:rPr>
          <m:t>−</m:t>
        </m:r>
        <m:r>
          <m:t>206.7</m:t>
        </m:r>
      </m:oMath>
      <w:r>
        <w:t xml:space="preserve"> kJ/mol; LOO RMS</w:t>
      </w:r>
      <w:r>
        <w:t xml:space="preserve"> </w:t>
      </w:r>
      <m:oMath>
        <m:r>
          <m:rPr>
            <m:sty m:val="p"/>
          </m:rPr>
          <m:t>±</m:t>
        </m:r>
        <m:r>
          <m:t>0.078</m:t>
        </m:r>
      </m:oMath>
      <w:r>
        <w:t xml:space="preserve"> g/cm</w:t>
      </w:r>
      <w:r>
        <w:rPr>
          <w:vertAlign w:val="superscript"/>
        </w:rPr>
        <w:t xml:space="preserve">3</w:t>
      </w:r>
      <w:r>
        <w:t xml:space="preserve"> </w:t>
      </w:r>
      <w:r>
        <w:t xml:space="preserve">and</w:t>
      </w:r>
      <w:r>
        <w:t xml:space="preserve"> </w:t>
      </w:r>
      <m:oMath>
        <m:r>
          <m:rPr>
            <m:sty m:val="p"/>
          </m:rPr>
          <m:t>±</m:t>
        </m:r>
        <m:r>
          <m:t>64.6</m:t>
        </m:r>
      </m:oMath>
      <w:r>
        <w:t xml:space="preserve"> kJ/mol.</w:t>
      </w:r>
    </w:p>
    <w:tbl>
      <w:tblPr>
        <w:tblStyle w:val="Table"/>
        <w:tblW w:type="pct" w:w="5000"/>
        <w:jc w:val="center"/>
        <w:tblLook w:firstRow="1" w:lastRow="0" w:firstColumn="0" w:lastColumn="0" w:noHBand="0" w:noVBand="0" w:val="0020"/>
        <w:tblCaption w:val="Table 2. 6-anchor DFT calibration (RDX, TATB, HMX, PETN, FOX-7, NTO). Linear corrections \rho_{\text{cal}} = 1.392\,\rho_{\text{DFT}} - 0.415 and HOF_{\text{cal}} =HOF_{\text{DFT}} - 206.7 kJ/mol; LOO RMS \pm 0.078 g/cm3 and \pm 64.6 kJ/mol."/>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2640"/>
        <w:gridCol w:w="2640"/>
        <w:gridCol w:w="264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Anchor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m:oMath>
              <m:sSub>
                <m:e>
                  <m:r>
                    <m:t>ρ</m:t>
                  </m:r>
                </m:e>
                <m:sub>
                  <m:r>
                    <m:rPr>
                      <m:nor/>
                      <m:sty m:val="p"/>
                    </m:rPr>
                    <m:t>exp</m:t>
                  </m:r>
                </m:sub>
              </m:sSub>
            </m:oMath>
            <w:r>
              <w:rPr>
                <w:rFonts w:ascii="Times New Roman" w:hAnsi="Times New Roman"/>
                <w:b/>
                <w:sz w:val="19"/>
              </w:rPr>
              <w:t xml:space="preserve"> </w:t>
            </w:r>
            <w:r>
              <w:rPr>
                <w:rFonts w:ascii="Times New Roman" w:hAnsi="Times New Roman"/>
                <w:b/>
                <w:sz w:val="19"/>
              </w:rPr>
              <w:t xml:space="preserve">(g/cm</w:t>
            </w:r>
            <w:r>
              <w:rPr>
                <w:rFonts w:ascii="Times New Roman" w:hAnsi="Times New Roman"/>
                <w:b/>
                <w:sz w:val="19"/>
                <w:vertAlign w:val="superscript"/>
              </w:rPr>
              <w:t xml:space="preserve">3</w:t>
            </w:r>
            <w:r>
              <w:rPr>
                <w:rFonts w:ascii="Times New Roman" w:hAnsi="Times New Roman"/>
                <w:b/>
                <w:sz w:val="19"/>
              </w:rPr>
              <w:t xml:space="preserv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HOF</w:t>
            </w:r>
            <m:oMath>
              <m:sSub>
                <m:e>
                  <m:r>
                    <m:t>​</m:t>
                  </m:r>
                </m:e>
                <m:sub>
                  <m:r>
                    <m:rPr>
                      <m:nor/>
                      <m:sty m:val="p"/>
                    </m:rPr>
                    <m:t>exp</m:t>
                  </m:r>
                </m:sub>
              </m:sSub>
            </m:oMath>
            <w:r>
              <w:rPr>
                <w:rFonts w:ascii="Times New Roman" w:hAnsi="Times New Roman"/>
                <w:b/>
                <w:sz w:val="19"/>
              </w:rPr>
              <w:t xml:space="preserve"> </w:t>
            </w:r>
            <w:r>
              <w:rPr>
                <w:rFonts w:ascii="Times New Roman" w:hAnsi="Times New Roman"/>
                <w:b/>
                <w:sz w:val="19"/>
              </w:rPr>
              <w:t xml:space="preserve">(kJ/mol)</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RDX</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TATB</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HMX</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PETN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−538 (condensed-phase 298 K from LLNL Explosives Handbook, Dobratz 1981; literature range −504 to −539 kJ/mol depending on measurement method; the chosen value is within the ±64.6 kJ/mol LOO RMS)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FOX-7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−134</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NTO</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1.93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−129</w:t>
            </w:r>
          </w:p>
        </w:tc>
      </w:tr>
    </w:tbl>
    <w:p/>
    <w:p>
      <w:pPr>
        <w:pStyle w:val="TableCaption"/>
        <w:spacing w:before="160" w:after="60" w:line="240" w:lineRule="auto"/>
        <w:jc w:val="center"/>
        <w:keepNext/>
        <w:keepLines/>
        <w:widowControl w:val="1"/>
      </w:pPr>
      <w:r>
        <w:rPr>
          <w:b/>
          <w:bCs/>
        </w:rPr>
        <w:t xml:space="preserve">Table 3.</w:t>
      </w:r>
      <w:r>
        <w:t xml:space="preserve"> </w:t>
      </w:r>
      <w:r>
        <w:t xml:space="preserve">Per-lead calibration-propagated uncertainty on K-J</w:t>
      </w:r>
      <w:r>
        <w:t xml:space="preserve"> </w:t>
      </w:r>
      <m:oMath>
        <m:r>
          <m:t>D</m:t>
        </m:r>
      </m:oMath>
      <w:r>
        <w:t xml:space="preserve"> </w:t>
      </w:r>
      <w:r>
        <w:t xml:space="preserve">and</w:t>
      </w:r>
      <w:r>
        <w:t xml:space="preserve"> </w:t>
      </w:r>
      <m:oMath>
        <m:r>
          <m:t>P</m:t>
        </m:r>
      </m:oMath>
      <w:r>
        <w:t xml:space="preserve">.</w:t>
      </w:r>
      <w:r>
        <w:t xml:space="preserve"> </w:t>
      </w:r>
      <m:oMath>
        <m:r>
          <m:t>δ</m:t>
        </m:r>
        <m:r>
          <m:t>D</m:t>
        </m:r>
      </m:oMath>
      <w:r>
        <w:t xml:space="preserve"> </w:t>
      </w:r>
      <w:r>
        <w:t xml:space="preserve">and</w:t>
      </w:r>
      <w:r>
        <w:t xml:space="preserve"> </w:t>
      </w:r>
      <m:oMath>
        <m:r>
          <m:t>δ</m:t>
        </m:r>
        <m:r>
          <m:t>P</m:t>
        </m:r>
      </m:oMath>
      <w:r>
        <w:t xml:space="preserve"> </w:t>
      </w:r>
      <w:r>
        <w:t xml:space="preserve">are obtained by propagating the 6-anchor LOO calibration errors (</w:t>
      </w:r>
      <m:oMath>
        <m:r>
          <m:t>δ</m:t>
        </m:r>
        <m:sSub>
          <m:e>
            <m:r>
              <m:t>ρ</m:t>
            </m:r>
          </m:e>
          <m:sub>
            <m:r>
              <m:rPr>
                <m:sty m:val="p"/>
              </m:rPr>
              <m:t>L</m:t>
            </m:r>
            <m:r>
              <m:rPr>
                <m:sty m:val="p"/>
              </m:rPr>
              <m:t>O</m:t>
            </m:r>
            <m:r>
              <m:rPr>
                <m:sty m:val="p"/>
              </m:rPr>
              <m:t>O</m:t>
            </m:r>
          </m:sub>
        </m:sSub>
        <m:r>
          <m:rPr>
            <m:sty m:val="p"/>
          </m:rPr>
          <m:t>=</m:t>
        </m:r>
        <m:r>
          <m:t>0.078</m:t>
        </m:r>
      </m:oMath>
      <w:r>
        <w:t xml:space="preserve"> g/cm</w:t>
      </w:r>
      <w:r>
        <w:rPr>
          <w:vertAlign w:val="superscript"/>
        </w:rPr>
        <w:t xml:space="preserve">3</w:t>
      </w:r>
      <w:r>
        <w:t xml:space="preserve">,</w:t>
      </w:r>
      <w:r>
        <w:t xml:space="preserve"> </w:t>
      </w:r>
      <m:oMath>
        <m:r>
          <m:t>δ</m:t>
        </m:r>
        <m:sSub>
          <m:e>
            <m:r>
              <m:rPr>
                <m:sty m:val="p"/>
              </m:rPr>
              <m:t>H</m:t>
            </m:r>
            <m:r>
              <m:rPr>
                <m:sty m:val="p"/>
              </m:rPr>
              <m:t>O</m:t>
            </m:r>
            <m:r>
              <m:rPr>
                <m:sty m:val="p"/>
              </m:rPr>
              <m:t>F</m:t>
            </m:r>
          </m:e>
          <m:sub>
            <m:r>
              <m:rPr>
                <m:sty m:val="p"/>
              </m:rPr>
              <m:t>L</m:t>
            </m:r>
            <m:r>
              <m:rPr>
                <m:sty m:val="p"/>
              </m:rPr>
              <m:t>O</m:t>
            </m:r>
            <m:r>
              <m:rPr>
                <m:sty m:val="p"/>
              </m:rPr>
              <m:t>O</m:t>
            </m:r>
          </m:sub>
        </m:sSub>
        <m:r>
          <m:rPr>
            <m:sty m:val="p"/>
          </m:rPr>
          <m:t>=</m:t>
        </m:r>
        <m:r>
          <m:t>64.6</m:t>
        </m:r>
      </m:oMath>
      <w:r>
        <w:t xml:space="preserve"> kJ/mol) through the K-J analytic sensitivity slopes in quadrature. The "K-J formula bias" column reports a per-lead estimate of the typical K-J under-prediction at the lead's N-fraction, derived from the §5.3</w:t>
      </w:r>
      <w:r>
        <w:t xml:space="preserve"> </w:t>
      </w:r>
      <m:oMath>
        <m:sSub>
          <m:e>
            <m:r>
              <m:t>f</m:t>
            </m:r>
          </m:e>
          <m:sub>
            <m:r>
              <m:t>N</m:t>
            </m:r>
          </m:sub>
        </m:sSub>
      </m:oMath>
      <w:r>
        <w:t xml:space="preserve"> </w:t>
      </w:r>
      <w:r>
        <w:t xml:space="preserve">regression on 575 Tier-A rows; the propagated calibration uncertainty (</w:t>
      </w:r>
      <m:oMath>
        <m:r>
          <m:t>δ</m:t>
        </m:r>
        <m:r>
          <m:t>D</m:t>
        </m:r>
      </m:oMath>
      <w:r>
        <w:t xml:space="preserve">) is separate. 3D-CNN surrogate error is a third source not included here.</w:t>
      </w:r>
    </w:p>
    <w:tbl>
      <w:tblPr>
        <w:tblStyle w:val="Table"/>
        <w:tblW w:type="pct" w:w="5000"/>
        <w:jc w:val="center"/>
        <w:tblLook w:firstRow="1" w:lastRow="0" w:firstColumn="0" w:lastColumn="0" w:noHBand="0" w:noVBand="0" w:val="0020"/>
        <w:tblCaption w:val="Table 3. Per-lead calibration-propagated uncertainty on K-J D and P. \delta D and \delta P are obtained by propagating the 6-anchor LOO calibration errors (\delta\rho_\mathrm{LOO}=0.078 g/cm3, \delta\mathrm{HOF}_\mathrm{LOO}=64.6 kJ/mol) through the K-J analytic sensitivity slopes in quadrature. The &quot;K-J formula bias&quot; column reports a per-lead estimate of the typical K-J under-prediction at the lead's N-fraction, derived from the §5.3 f_N regression on 575 Tier-A rows; the propagated calibration uncertainty (\delta D) is separate. 3D-CNN surrogate error is a third source not included her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880"/>
        <w:gridCol w:w="880"/>
        <w:gridCol w:w="880"/>
        <w:gridCol w:w="880"/>
        <w:gridCol w:w="880"/>
        <w:gridCol w:w="880"/>
        <w:gridCol w:w="880"/>
        <w:gridCol w:w="880"/>
        <w:gridCol w:w="8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ID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m:oMath>
              <m:sSub>
                <m:e>
                  <m:r>
                    <m:t>ρ</m:t>
                  </m:r>
                </m:e>
                <m:sub>
                  <m:r>
                    <m:rPr>
                      <m:sty m:val="p"/>
                    </m:rPr>
                    <m:t>c</m:t>
                  </m:r>
                  <m:r>
                    <m:rPr>
                      <m:sty m:val="p"/>
                    </m:rPr>
                    <m:t>a</m:t>
                  </m:r>
                  <m:r>
                    <m:rPr>
                      <m:sty m:val="p"/>
                    </m:rPr>
                    <m:t>l</m:t>
                  </m:r>
                </m:sub>
              </m:sSub>
            </m:oMath>
            <w:r>
              <w:rPr>
                <w:rFonts w:ascii="Times New Roman" w:hAnsi="Times New Roman"/>
                <w:b/>
                <w:sz w:val="19"/>
              </w:rPr>
              <w:t xml:space="preserve"> </w:t>
            </w:r>
            <w:r>
              <w:rPr>
                <w:rFonts w:ascii="Times New Roman" w:hAnsi="Times New Roman"/>
                <w:b/>
                <w:sz w:val="19"/>
              </w:rPr>
              <w:t xml:space="preserve">(g/cm</w:t>
            </w:r>
            <w:r>
              <w:rPr>
                <w:rFonts w:ascii="Times New Roman" w:hAnsi="Times New Roman"/>
                <w:b/>
                <w:sz w:val="19"/>
                <w:vertAlign w:val="superscript"/>
              </w:rPr>
              <w:t xml:space="preserve">3</w:t>
            </w:r>
            <w:r>
              <w:rPr>
                <w:rFonts w:ascii="Times New Roman" w:hAnsi="Times New Roman"/>
                <w:b/>
                <w:sz w:val="19"/>
              </w:rPr>
              <w:t xml:space="preserv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HOF</w:t>
            </w:r>
            <m:oMath>
              <m:sSub>
                <m:e>
                  <m:r>
                    <m:t>​</m:t>
                  </m:r>
                </m:e>
                <m:sub>
                  <m:r>
                    <m:rPr>
                      <m:sty m:val="p"/>
                    </m:rPr>
                    <m:t>c</m:t>
                  </m:r>
                  <m:r>
                    <m:rPr>
                      <m:sty m:val="p"/>
                    </m:rPr>
                    <m:t>a</m:t>
                  </m:r>
                  <m:r>
                    <m:rPr>
                      <m:sty m:val="p"/>
                    </m:rPr>
                    <m:t>l</m:t>
                  </m:r>
                </m:sub>
              </m:sSub>
            </m:oMath>
            <w:r>
              <w:rPr>
                <w:rFonts w:ascii="Times New Roman" w:hAnsi="Times New Roman"/>
                <w:b/>
                <w:sz w:val="19"/>
              </w:rPr>
              <w:t xml:space="preserve"> </w:t>
            </w:r>
            <w:r>
              <w:rPr>
                <w:rFonts w:ascii="Times New Roman" w:hAnsi="Times New Roman"/>
                <w:b/>
                <w:sz w:val="19"/>
              </w:rPr>
              <w:t xml:space="preserve">(kJ/mol)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m:oMath>
              <m:sSub>
                <m:e>
                  <m:r>
                    <m:t>D</m:t>
                  </m:r>
                </m:e>
                <m:sub>
                  <m:r>
                    <m:rPr>
                      <m:sty m:val="p"/>
                    </m:rPr>
                    <m:t>c</m:t>
                  </m:r>
                  <m:r>
                    <m:rPr>
                      <m:sty m:val="p"/>
                    </m:rPr>
                    <m:t>a</m:t>
                  </m:r>
                  <m:r>
                    <m:rPr>
                      <m:sty m:val="p"/>
                    </m:rPr>
                    <m:t>l</m:t>
                  </m:r>
                </m:sub>
              </m:sSub>
            </m:oMath>
            <w:r>
              <w:rPr>
                <w:rFonts w:ascii="Times New Roman" w:hAnsi="Times New Roman"/>
                <w:b/>
                <w:sz w:val="19"/>
              </w:rPr>
              <w:t xml:space="preserve"> </w:t>
            </w:r>
            <w:r>
              <w:rPr>
                <w:rFonts w:ascii="Times New Roman" w:hAnsi="Times New Roman"/>
                <w:b/>
                <w:sz w:val="19"/>
              </w:rPr>
              <w:t xml:space="preserve">(km/s)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m:oMath>
              <m:r>
                <m:t>δ</m:t>
              </m:r>
              <m:r>
                <m:t>D</m:t>
              </m:r>
            </m:oMath>
            <w:r>
              <w:rPr>
                <w:rFonts w:ascii="Times New Roman" w:hAnsi="Times New Roman"/>
                <w:b/>
                <w:sz w:val="19"/>
              </w:rPr>
              <w:t xml:space="preserve"> </w:t>
            </w:r>
            <w:r>
              <w:rPr>
                <w:rFonts w:ascii="Times New Roman" w:hAnsi="Times New Roman"/>
                <w:b/>
                <w:sz w:val="19"/>
              </w:rPr>
              <w:t xml:space="preserve">(km/s)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m:oMath>
              <m:sSub>
                <m:e>
                  <m:r>
                    <m:t>P</m:t>
                  </m:r>
                </m:e>
                <m:sub>
                  <m:r>
                    <m:rPr>
                      <m:sty m:val="p"/>
                    </m:rPr>
                    <m:t>c</m:t>
                  </m:r>
                  <m:r>
                    <m:rPr>
                      <m:sty m:val="p"/>
                    </m:rPr>
                    <m:t>a</m:t>
                  </m:r>
                  <m:r>
                    <m:rPr>
                      <m:sty m:val="p"/>
                    </m:rPr>
                    <m:t>l</m:t>
                  </m:r>
                </m:sub>
              </m:sSub>
            </m:oMath>
            <w:r>
              <w:rPr>
                <w:rFonts w:ascii="Times New Roman" w:hAnsi="Times New Roman"/>
                <w:b/>
                <w:sz w:val="19"/>
              </w:rPr>
              <w:t xml:space="preserve"> </w:t>
            </w:r>
            <w:r>
              <w:rPr>
                <w:rFonts w:ascii="Times New Roman" w:hAnsi="Times New Roman"/>
                <w:b/>
                <w:sz w:val="19"/>
              </w:rPr>
              <w:t xml:space="preserve">(GPa)</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m:oMath>
              <m:r>
                <m:t>δ</m:t>
              </m:r>
              <m:r>
                <m:t>P</m:t>
              </m:r>
            </m:oMath>
            <w:r>
              <w:rPr>
                <w:rFonts w:ascii="Times New Roman" w:hAnsi="Times New Roman"/>
                <w:b/>
                <w:sz w:val="19"/>
              </w:rPr>
              <w:t xml:space="preserve"> </w:t>
            </w:r>
            <w:r>
              <w:rPr>
                <w:rFonts w:ascii="Times New Roman" w:hAnsi="Times New Roman"/>
                <w:b/>
                <w:sz w:val="19"/>
              </w:rPr>
              <w:t xml:space="preserve">(GPa)</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K-J formula bias (typical, km/s)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m:oMath>
              <m:r>
                <m:rPr>
                  <m:sty m:val="p"/>
                </m:rPr>
                <m:t>∂</m:t>
              </m:r>
              <m:r>
                <m:t>D</m:t>
              </m:r>
              <m:r>
                <m:rPr>
                  <m:sty m:val="p"/>
                </m:rPr>
                <m:t>/</m:t>
              </m:r>
              <m:r>
                <m:rPr>
                  <m:sty m:val="p"/>
                </m:rPr>
                <m:t>∂</m:t>
              </m:r>
              <m:r>
                <m:t>ρ</m:t>
              </m:r>
            </m:oMath>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2.093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32.9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−0.1 ± 0.4 (</w:t>
            </w:r>
            <m:oMath>
              <m:sSub>
                <m:e>
                  <m:r>
                    <m:t>f</m:t>
                  </m:r>
                </m:e>
                <m:sub>
                  <m:r>
                    <m:t>N</m:t>
                  </m:r>
                </m:sub>
              </m:sSub>
              <m:r>
                <m:rPr>
                  <m:sty m:val="p"/>
                </m:rPr>
                <m:t>≈</m:t>
              </m:r>
              <m:r>
                <m:t>0.29</m:t>
              </m:r>
            </m:oMath>
            <w:r>
              <w:rPr>
                <w:rFonts w:ascii="Times New Roman" w:hAnsi="Times New Roman"/>
                <w:sz w:val="20"/>
              </w:rPr>
              <w:t xml:space="preserve">, PETN-like)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1.949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−89.3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7.78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2.86</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1.995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+115.4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7.50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26.5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1.941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+292.1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6.71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−0.7 ± 0.4 (high-</w:t>
            </w:r>
            <m:oMath>
              <m:sSub>
                <m:e>
                  <m:r>
                    <m:t>f</m:t>
                  </m:r>
                </m:e>
                <m:sub>
                  <m:r>
                    <m:t>N</m:t>
                  </m:r>
                </m:sub>
              </m:sSub>
            </m:oMath>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1.942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−153.1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7.99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29.6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−0.3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2.95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1.909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+329.8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7.33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−0.5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L11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−159.0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7.88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2.95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L13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1.859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+115.1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7.36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L16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1.995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+115.4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7.50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26.5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L18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1.839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7.09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±0.23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−0.5 ± 0.4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L19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1.905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−373.3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7.24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±0.33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−0.6 ± 0.4 (high-</w:t>
            </w:r>
            <m:oMath>
              <m:sSub>
                <m:e>
                  <m:r>
                    <m:t>f</m:t>
                  </m:r>
                </m:e>
                <m:sub>
                  <m:r>
                    <m:t>N</m:t>
                  </m:r>
                </m:sub>
              </m:sSub>
            </m:oMath>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2.71</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L20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1.983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−12.0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7.41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±0.23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25.8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−0.4 ± 0.4</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2.69</w:t>
            </w:r>
          </w:p>
        </w:tc>
      </w:tr>
    </w:tbl>
    <w:p>
      <w:pPr>
        <w:pStyle w:val="BodyText"/>
        <w:spacing w:before="160"/>
        <w:jc w:val="both"/>
        <w:keepNext w:val="0"/>
        <w:keepLines w:val="0"/>
        <w:widowControl w:val="1"/>
      </w:pPr>
      <w:r>
        <w:rPr>
          <w:b/>
          <w:bCs/>
        </w:rPr>
        <w:t xml:space="preserve">Literature context for L1.</w:t>
      </w:r>
      <w:r>
        <w:t xml:space="preserve"> </w:t>
      </w:r>
      <w:r>
        <w:t xml:space="preserve">The polynitroisoxazole family is established in the energetic-materials literature (</w:t>
      </w:r>
      <w:hyperlink w:anchor="ref-sabatini2018">
        <w:r>
          <w:rPr>
            <w:rStyle w:val="Hyperlink"/>
          </w:rPr>
          <w:t xml:space="preserve">[sabatini2018]</w:t>
        </w:r>
      </w:hyperlink>
      <w:hyperlink w:anchor="ref-tang2017">
        <w:r>
          <w:rPr>
            <w:rStyle w:val="Hyperlink"/>
          </w:rPr>
          <w:t xml:space="preserve">[tang2017]</w:t>
        </w:r>
      </w:hyperlink>
      <w:r>
        <w:t xml:space="preserve">); the isomeric 3,4,5-trinitro-1</w:t>
      </w:r>
      <w:r>
        <w:rPr>
          <w:i/>
          <w:iCs/>
        </w:rPr>
        <w:t xml:space="preserve">H</w:t>
      </w:r>
      <w:r>
        <w:t xml:space="preserve">-pyrazole</w:t>
      </w:r>
      <w:r>
        <w:t xml:space="preserve"> </w:t>
      </w:r>
      <w:hyperlink w:anchor="ref-herve2010">
        <w:r>
          <w:rPr>
            <w:rStyle w:val="Hyperlink"/>
          </w:rPr>
          <w:t xml:space="preserve">[herve2010]</w:t>
        </w:r>
      </w:hyperlink>
      <w:r>
        <w:t xml:space="preserve"> </w:t>
      </w:r>
      <w:r>
        <w:t xml:space="preserve">is the closest fully-substituted ring previously characterised. The 3,4,5-trinitro-1,2-isoxazole isomer DGLD proposes is absent from the 65 980-row labelled master (max-Tanimoto 0.27) and from PubChem; it is therefore a chemotype-class rediscovery with a positionally novel substitution pattern.</w:t>
      </w:r>
    </w:p>
    <w:bookmarkEnd w:id="113"/>
    <w:bookmarkStart w:id="117" w:name="sec-extension-set"/>
    <w:p>
      <w:pPr>
        <w:pStyle w:val="Heading3"/>
        <w:keepNext/>
        <w:keepLines/>
        <w:widowControl w:val="1"/>
      </w:pPr>
      <w:r>
        <w:t xml:space="preserve">5.4 Novelty, synthesisability, and scaffold diversity</w:t>
      </w:r>
    </w:p>
    <w:p>
      <w:pPr>
        <w:pStyle w:val="FirstParagraph"/>
        <w:jc w:val="both"/>
        <w:keepNext w:val="0"/>
        <w:keepLines w:val="0"/>
        <w:widowControl w:val="1"/>
      </w:pPr>
      <w:r>
        <w:t xml:space="preserve">Three audits frame the merged top-100 against PubChem, public USPTO retrosynthesis templates, and a scaffold-distinct E-set extension. The headline is that DGLD generates a chemotype distribution (10 DFT leads / 8 Bemis–Murcko scaffolds / 6 families), not a single isoxazole hit.</w:t>
      </w:r>
    </w:p>
    <w:bookmarkStart w:id="114" w:name="novelty-audit"/>
    <w:p>
      <w:pPr>
        <w:pStyle w:val="Heading4"/>
        <w:keepNext/>
        <w:keepLines/>
        <w:widowControl w:val="1"/>
      </w:pPr>
      <w:r>
        <w:t xml:space="preserve">Novelty audit</w:t>
      </w:r>
    </w:p>
    <w:p>
      <w:pPr>
        <w:pStyle w:val="FirstParagraph"/>
        <w:jc w:val="both"/>
        <w:keepNext w:val="0"/>
        <w:keepLines w:val="0"/>
        <w:widowControl w:val="1"/>
      </w:pPr>
      <w:r>
        <w:t xml:space="preserve">Of the merged top-100,</w:t>
      </w:r>
      <w:r>
        <w:t xml:space="preserve"> </w:t>
      </w:r>
      <w:r>
        <w:rPr>
          <w:b/>
          <w:bCs/>
        </w:rPr>
        <w:t xml:space="preserve">96/97 are absent from PubChem</w:t>
      </w:r>
      <w:r>
        <w:t xml:space="preserve"> </w:t>
      </w:r>
      <w:hyperlink w:anchor="ref-kim2023pubchem">
        <w:r>
          <w:rPr>
            <w:rStyle w:val="Hyperlink"/>
          </w:rPr>
          <w:t xml:space="preserve">[23]</w:t>
        </w:r>
      </w:hyperlink>
      <w:r>
        <w:t xml:space="preserve"> </w:t>
      </w:r>
      <w:r>
        <w:t xml:space="preserve">(PUG REST on canonical SMILES; 3 transient REST errors excluded; the one rediscovery is 1-nitro-1H-tetrazol-1-amine at rank 56). Independently,</w:t>
      </w:r>
      <w:r>
        <w:t xml:space="preserve"> </w:t>
      </w:r>
      <w:r>
        <w:rPr>
          <w:b/>
          <w:bCs/>
        </w:rPr>
        <w:t xml:space="preserve">97/100 are absent from the 65 980-row labelled master</w:t>
      </w:r>
      <w:r>
        <w:t xml:space="preserve">; the three rediscoveries (dinitramide, 1,2-dinitrohydrazine, N,N′-dinitrocarbodiimide) confirm the model rediscovers established high-density CHNO motifs.</w:t>
      </w:r>
      <w:r>
        <w:t xml:space="preserve"> </w:t>
      </w:r>
      <w:r>
        <w:rPr>
          <w:b/>
          <w:bCs/>
        </w:rPr>
        <w:t xml:space="preserve">Zero of the 100 candidates lie within Tanimoto 0.70 of any training row, and zero are exact matches in the 694 518-row augmented corpus</w:t>
      </w:r>
      <w:r>
        <w:t xml:space="preserve"> </w:t>
      </w:r>
      <w:r>
        <w:t xml:space="preserve">(Table 4); the candidates are</w:t>
      </w:r>
      <w:r>
        <w:t xml:space="preserve"> </w:t>
      </w:r>
      <w:r>
        <w:rPr>
          <w:i/>
          <w:iCs/>
        </w:rPr>
        <w:t xml:space="preserve">more</w:t>
      </w:r>
      <w:r>
        <w:t xml:space="preserve"> </w:t>
      </w:r>
      <w:r>
        <w:t xml:space="preserve">distant from the augmented corpus than from the labelled master alone, despite the augmented corpus being &gt;10× larger. The strengthened SMARTS catalog (N-nitroimines and open-chain polyazene/azo-nitro motifs) retains 77/100 of the merged top-100; the rank-1 trinitro-isoxazole survives (per-class breakdown in Appendix D.7).</w:t>
      </w:r>
    </w:p>
    <w:p>
      <w:pPr>
        <w:pStyle w:val="TableCaption"/>
        <w:spacing w:before="160" w:after="60" w:line="240" w:lineRule="auto"/>
        <w:jc w:val="center"/>
        <w:keepNext/>
        <w:keepLines/>
        <w:widowControl w:val="1"/>
      </w:pPr>
      <w:r>
        <w:rPr>
          <w:b/>
          <w:bCs/>
        </w:rPr>
        <w:t xml:space="preserve">Table 4.</w:t>
      </w:r>
      <w:r>
        <w:t xml:space="preserve"> </w:t>
      </w:r>
      <w:r>
        <w:t xml:space="preserve">Stratified novelty of the merged top-100 against the 65 980-row labelled master and the 694 518-row augmented training corpus. Max Tanimoto on Morgan FP (radius 2, 2048 bits) per candidate against every reference row.</w:t>
      </w:r>
    </w:p>
    <w:tbl>
      <w:tblPr>
        <w:tblStyle w:val="Table"/>
        <w:tblW w:type="pct" w:w="5000"/>
        <w:jc w:val="center"/>
        <w:tblLook w:firstRow="1" w:lastRow="0" w:firstColumn="0" w:lastColumn="0" w:noHBand="0" w:noVBand="0" w:val="0020"/>
        <w:tblCaption w:val="Table 4. Stratified novelty of the merged top-100 against the 65 980-row labelled master and the 694 518-row augmented training corpus. Max Tanimoto on Morgan FP (radius 2, 2048 bits) per candidate against every reference row."/>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Reference set</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Size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Median NN-Tanimoto</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p25 / p75</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fraction</w:t>
            </w:r>
            <w:r>
              <w:rPr>
                <w:rFonts w:ascii="Times New Roman" w:hAnsi="Times New Roman"/>
                <w:b/>
                <w:sz w:val="19"/>
              </w:rPr>
              <w:t xml:space="preserve"> </w:t>
            </w:r>
            <m:oMath>
              <m:r>
                <m:rPr>
                  <m:sty m:val="p"/>
                </m:rPr>
                <m:t>&gt;</m:t>
              </m:r>
              <m:r>
                <m:t>0.55</m:t>
              </m:r>
            </m:oMath>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fraction</w:t>
            </w:r>
            <w:r>
              <w:rPr>
                <w:rFonts w:ascii="Times New Roman" w:hAnsi="Times New Roman"/>
                <w:b/>
                <w:sz w:val="19"/>
              </w:rPr>
              <w:t xml:space="preserve"> </w:t>
            </w:r>
            <m:oMath>
              <m:r>
                <m:rPr>
                  <m:sty m:val="p"/>
                </m:rPr>
                <m:t>&gt;</m:t>
              </m:r>
              <m:r>
                <m:t>0.70</m:t>
              </m:r>
            </m:oMath>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exact match</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Labelled master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65 980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0.36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0.32 / 0.42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3 %</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1 %</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1 %</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Augmented training corpus</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694 518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0.32</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0.29 / 0.38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1 %</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0 %</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0 %</w:t>
            </w:r>
          </w:p>
        </w:tc>
      </w:tr>
    </w:tbl>
    <w:bookmarkEnd w:id="114"/>
    <w:bookmarkStart w:id="115" w:name="retrosynthesis-audit"/>
    <w:p>
      <w:pPr>
        <w:pStyle w:val="Heading4"/>
        <w:keepNext/>
        <w:keepLines/>
        <w:widowControl w:val="1"/>
      </w:pPr>
      <w:r>
        <w:t xml:space="preserve">Retrosynthesis audit</w:t>
      </w:r>
    </w:p>
    <w:p>
      <w:pPr>
        <w:pStyle w:val="FirstParagraph"/>
        <w:jc w:val="both"/>
        <w:keepNext w:val="0"/>
        <w:keepLines w:val="0"/>
        <w:widowControl w:val="1"/>
      </w:pPr>
      <w:r>
        <w:t xml:space="preserve">AiZynthFinder</w:t>
      </w:r>
      <w:r>
        <w:t xml:space="preserve"> </w:t>
      </w:r>
      <w:hyperlink w:anchor="ref-genheden2020aizynth">
        <w:r>
          <w:rPr>
            <w:rStyle w:val="Hyperlink"/>
          </w:rPr>
          <w:t xml:space="preserve">[68]</w:t>
        </w:r>
      </w:hyperlink>
      <w:r>
        <w:t xml:space="preserve"> </w:t>
      </w:r>
      <w:r>
        <w:t xml:space="preserve">with public USPTO expansion + filter policies and the ZINC in-stock catalog (200 MCTS iter, 300 s/target) was applied to L1, L4, L5 and then extended to the remaining nine chem-pass leads.</w:t>
      </w:r>
      <w:r>
        <w:t xml:space="preserve"> </w:t>
      </w:r>
      <w:r>
        <w:rPr>
          <w:b/>
          <w:bCs/>
        </w:rPr>
        <w:t xml:space="preserve">L1 returns 9 productive routes; the top route is 4 steps with state score 0.50</w:t>
      </w:r>
      <w:r>
        <w:t xml:space="preserve"> </w:t>
      </w:r>
      <w:r>
        <w:t xml:space="preserve">(Table 5). L4, L5, and the nine extension leads return zero productive routes within budget; reproduced at 5× budget (1000 MCTS iter, 1800 s) on L4/L5. The L1 disconnection sequence (electrophilic ring-nitration; Boc protection; DPPA-mediated Curtius rearrangement on 4,5-dinitro-1,2-isoxazole-3-carboxylic acid), its hazard caveats (acyl-azide intermediate at primary-explosive class), and the ZINC catalog gap on energetic-domain intermediates are documented in Appendix D.14. The 1/12 hit rate quantifies a public-USPTO drug-domain template-database gap, not unsynthesisability of the candidates; an energetics-domain template extension is flagged as community follow-up in §6.</w:t>
      </w:r>
    </w:p>
    <w:p>
      <w:pPr>
        <w:pStyle w:val="TableCaption"/>
        <w:spacing w:before="160" w:after="60" w:line="240" w:lineRule="auto"/>
        <w:jc w:val="center"/>
        <w:keepNext/>
        <w:keepLines/>
        <w:widowControl w:val="1"/>
      </w:pPr>
      <w:r>
        <w:rPr>
          <w:b/>
          <w:bCs/>
        </w:rPr>
        <w:t xml:space="preserve">Table 5.</w:t>
      </w:r>
      <w:r>
        <w:t xml:space="preserve"> </w:t>
      </w:r>
      <w:r>
        <w:t xml:space="preserve">AiZynthFinder retrosynthetic search on three representative leads (L1 aromatic, L4 5-ring N-rich, L5 open-chain), 200 MCTS iterations / 300 s, USPTO templates + ZINC in-stock catalog. State score 0.05 = "target node only" baseline.</w:t>
      </w:r>
    </w:p>
    <w:tbl>
      <w:tblPr>
        <w:tblStyle w:val="Table"/>
        <w:tblW w:type="pct" w:w="5000"/>
        <w:jc w:val="center"/>
        <w:tblLook w:firstRow="1" w:lastRow="0" w:firstColumn="0" w:lastColumn="0" w:noHBand="0" w:noVBand="0" w:val="0020"/>
        <w:tblCaption w:val="Table 5. AiZynthFinder retrosynthetic search on three representative leads (L1 aromatic, L4 5-ring N-rich, L5 open-chain), 200 MCTS iterations / 300 s, USPTO templates + ZINC in-stock catalog. State score 0.05 = &quot;target node only&quot; baseline."/>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584"/>
        <w:gridCol w:w="1584"/>
        <w:gridCol w:w="1584"/>
        <w:gridCol w:w="1584"/>
        <w:gridCol w:w="1584"/>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ID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Scaffold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Routes found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Top-route steps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State score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aromatic isoxazole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0.50</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tetrazoline nitramine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 (only target node)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n/a</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0.05</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L5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acyl oxime nitrate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 (only target node)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n/a</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0.05</w:t>
            </w:r>
          </w:p>
        </w:tc>
      </w:tr>
    </w:tbl>
    <w:bookmarkEnd w:id="115"/>
    <w:bookmarkStart w:id="116" w:name="e-set-scaffold-diversity-audit-e1e10"/>
    <w:p>
      <w:pPr>
        <w:pStyle w:val="Heading4"/>
        <w:keepNext/>
        <w:keepLines/>
        <w:widowControl w:val="1"/>
      </w:pPr>
      <w:r>
        <w:t xml:space="preserve">E-set scaffold-diversity audit (E1–E10)</w:t>
      </w:r>
    </w:p>
    <w:p>
      <w:pPr>
        <w:pStyle w:val="FirstParagraph"/>
        <w:jc w:val="both"/>
        <w:keepNext w:val="0"/>
        <w:keepLines w:val="0"/>
        <w:widowControl w:val="1"/>
      </w:pPr>
      <w:r>
        <w:t xml:space="preserve">To probe scaffold diversity beyond the single sampling stream of the L-set, we mined a 500-candidate extension pool from the four sampling runs of §5.2 under the same Stage 1 SMARTS gate but with a Tanimoto-NN cap of 0.55 against L1–L20. The 500 SMILES were pre-screened with GFN2-xTB on Modal CPU;</w:t>
      </w:r>
      <w:r>
        <w:t xml:space="preserve"> </w:t>
      </w:r>
      <w:r>
        <w:rPr>
          <w:b/>
          <w:bCs/>
        </w:rPr>
        <w:t xml:space="preserve">10 scaffold-distinct survivors</w:t>
      </w:r>
      <w:r>
        <w:t xml:space="preserve"> </w:t>
      </w:r>
      <w:r>
        <w:t xml:space="preserve">were promoted to A100 DFT under the same protocol used for L1–L20 and post-corrected with the 6-anchor calibration. By Bemis–Murcko bookkeeping the 10 picks span</w:t>
      </w:r>
      <w:r>
        <w:t xml:space="preserve"> </w:t>
      </w:r>
      <w:r>
        <w:rPr>
          <w:b/>
          <w:bCs/>
        </w:rPr>
        <w:t xml:space="preserve">8 distinct scaffolds across 6 chemotype families</w:t>
      </w:r>
      <w:r>
        <w:t xml:space="preserve">: 1,2,3,5-oxatriazole (E1), NH-pyrrole nitroaromatic (E6), acyclic and small-ring nitramines (E2–E4), small-ring nitrate esters (E5, E7), geminal polynitro carbocycle (E8), bare 1H-tetrazole (E9), and nitro-imidazoline (E10); four families (oxatriazole, NH-pyrrole, acyclic nitramine, geminal polynitro carbocycle) are absent from the L-set entirely.</w:t>
      </w:r>
    </w:p>
    <w:p>
      <w:pPr>
        <w:pStyle w:val="TableCaption"/>
        <w:spacing w:before="160" w:after="60" w:line="240" w:lineRule="auto"/>
        <w:jc w:val="center"/>
        <w:keepNext/>
        <w:keepLines/>
        <w:widowControl w:val="1"/>
      </w:pPr>
      <w:r>
        <w:rPr>
          <w:b/>
          <w:bCs/>
        </w:rPr>
        <w:t xml:space="preserve">Table 6.</w:t>
      </w:r>
      <w:r>
        <w:t xml:space="preserve"> </w:t>
      </w:r>
      <w:r>
        <w:t xml:space="preserve">Extension-set leads: structure and pre-screen. Columns: lead ID, canonical SMILES, chemotype family, molecular formula, atom count (n_atoms), GFN2-xTB HOMO–LUMO gap in eV, and whether the molecular graph is preserved after xTB geometry optimisation (yes/no). See</w:t>
      </w:r>
      <w:r>
        <w:t xml:space="preserve"> </w:t>
      </w:r>
      <w:r>
        <w:rPr>
          <w:vertAlign w:val="superscript"/>
        </w:rPr>
        <w:t xml:space="preserve">†</w:t>
      </w:r>
      <w:r>
        <w:t xml:space="preserve"> </w:t>
      </w:r>
      <w:r>
        <w:t xml:space="preserve">footnote between Tables 6 and 7 for the E2/E9 K-J caveats referenced in Table 7.</w:t>
      </w:r>
    </w:p>
    <w:tbl>
      <w:tblPr>
        <w:tblStyle w:val="Table"/>
        <w:tblW w:type="pct" w:w="5000"/>
        <w:jc w:val="center"/>
        <w:tblLook w:firstRow="1" w:lastRow="0" w:firstColumn="0" w:lastColumn="0" w:noHBand="0" w:noVBand="0" w:val="0020"/>
        <w:tblCaption w:val="Table 6. Extension-set leads: structure and pre-screen. Columns: lead ID, canonical SMILES, chemotype family, molecular formula, atom count (n_atoms), GFN2-xTB HOMO–LUMO gap in eV, and whether the molecular graph is preserved after xTB geometry optimisation (yes/no). See † footnote between Tables 6 and 7 for the E2/E9 K-J caveats referenced in Table 7."/>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131"/>
        <w:gridCol w:w="1131"/>
        <w:gridCol w:w="1131"/>
        <w:gridCol w:w="1131"/>
        <w:gridCol w:w="1131"/>
        <w:gridCol w:w="1131"/>
        <w:gridCol w:w="1131"/>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ID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SMILES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chemotype family</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formula</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n_atoms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xTB gap (eV)</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graph unchanged</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O=[N+]([O-])c1nnon1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1,2,3,5-oxatriazole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1</w:t>
            </w:r>
            <w:r>
              <w:rPr>
                <w:rFonts w:ascii="Times New Roman" w:hAnsi="Times New Roman"/>
                <w:sz w:val="20"/>
              </w:rPr>
              <w:t xml:space="preserve">N</w:t>
            </w:r>
            <w:r>
              <w:rPr>
                <w:rFonts w:ascii="Times New Roman" w:hAnsi="Times New Roman"/>
                <w:sz w:val="20"/>
                <w:vertAlign w:val="subscript"/>
              </w:rPr>
              <w:t xml:space="preserve">4</w:t>
            </w:r>
            <w:r>
              <w:rPr>
                <w:rFonts w:ascii="Times New Roman" w:hAnsi="Times New Roman"/>
                <w:sz w:val="20"/>
              </w:rPr>
              <w:t xml:space="preserve">O</w:t>
            </w:r>
            <w:r>
              <w:rPr>
                <w:rFonts w:ascii="Times New Roman" w:hAnsi="Times New Roman"/>
                <w:sz w:val="20"/>
                <w:vertAlign w:val="subscript"/>
              </w:rPr>
              <w:t xml:space="preserve">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O=[N+]([O-])NC([N+](=O)[O-])[N+](=O)[O-]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acyclic gem-dinitro nitramine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1</w:t>
            </w:r>
            <w:r>
              <w:rPr>
                <w:rFonts w:ascii="Times New Roman" w:hAnsi="Times New Roman"/>
                <w:sz w:val="20"/>
              </w:rPr>
              <w:t xml:space="preserve">H</w:t>
            </w:r>
            <w:r>
              <w:rPr>
                <w:rFonts w:ascii="Times New Roman" w:hAnsi="Times New Roman"/>
                <w:sz w:val="20"/>
                <w:vertAlign w:val="subscript"/>
              </w:rPr>
              <w:t xml:space="preserve">2</w:t>
            </w:r>
            <w:r>
              <w:rPr>
                <w:rFonts w:ascii="Times New Roman" w:hAnsi="Times New Roman"/>
                <w:sz w:val="20"/>
              </w:rPr>
              <w:t xml:space="preserve">N</w:t>
            </w:r>
            <w:r>
              <w:rPr>
                <w:rFonts w:ascii="Times New Roman" w:hAnsi="Times New Roman"/>
                <w:sz w:val="20"/>
                <w:vertAlign w:val="subscript"/>
              </w:rPr>
              <w:t xml:space="preserve">4</w:t>
            </w:r>
            <w:r>
              <w:rPr>
                <w:rFonts w:ascii="Times New Roman" w:hAnsi="Times New Roman"/>
                <w:sz w:val="20"/>
              </w:rPr>
              <w:t xml:space="preserve">O</w:t>
            </w:r>
            <w:r>
              <w:rPr>
                <w:rFonts w:ascii="Times New Roman" w:hAnsi="Times New Roman"/>
                <w:sz w:val="20"/>
                <w:vertAlign w:val="subscript"/>
              </w:rPr>
              <w:t xml:space="preserve">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O=[N+]([O-])Nc1conc1[N+](=O)[O-]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isoxazole nitramine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3</w:t>
            </w:r>
            <w:r>
              <w:rPr>
                <w:rFonts w:ascii="Times New Roman" w:hAnsi="Times New Roman"/>
                <w:sz w:val="20"/>
              </w:rPr>
              <w:t xml:space="preserve">H</w:t>
            </w:r>
            <w:r>
              <w:rPr>
                <w:rFonts w:ascii="Times New Roman" w:hAnsi="Times New Roman"/>
                <w:sz w:val="20"/>
                <w:vertAlign w:val="subscript"/>
              </w:rPr>
              <w:t xml:space="preserve">2</w:t>
            </w:r>
            <w:r>
              <w:rPr>
                <w:rFonts w:ascii="Times New Roman" w:hAnsi="Times New Roman"/>
                <w:sz w:val="20"/>
              </w:rPr>
              <w:t xml:space="preserve">N</w:t>
            </w:r>
            <w:r>
              <w:rPr>
                <w:rFonts w:ascii="Times New Roman" w:hAnsi="Times New Roman"/>
                <w:sz w:val="20"/>
                <w:vertAlign w:val="subscript"/>
              </w:rPr>
              <w:t xml:space="preserve">4</w:t>
            </w:r>
            <w:r>
              <w:rPr>
                <w:rFonts w:ascii="Times New Roman" w:hAnsi="Times New Roman"/>
                <w:sz w:val="20"/>
              </w:rPr>
              <w:t xml:space="preserve">O</w:t>
            </w:r>
            <w:r>
              <w:rPr>
                <w:rFonts w:ascii="Times New Roman" w:hAnsi="Times New Roman"/>
                <w:sz w:val="20"/>
                <w:vertAlign w:val="subscript"/>
              </w:rPr>
              <w:t xml:space="preserve">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O=[N+]([O-])NC1=CC1([N+](=O)[O-])[N+](=O)[O-]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cyclopropene nitramine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3</w:t>
            </w:r>
            <w:r>
              <w:rPr>
                <w:rFonts w:ascii="Times New Roman" w:hAnsi="Times New Roman"/>
                <w:sz w:val="20"/>
              </w:rPr>
              <w:t xml:space="preserve">H</w:t>
            </w:r>
            <w:r>
              <w:rPr>
                <w:rFonts w:ascii="Times New Roman" w:hAnsi="Times New Roman"/>
                <w:sz w:val="20"/>
                <w:vertAlign w:val="subscript"/>
              </w:rPr>
              <w:t xml:space="preserve">2</w:t>
            </w:r>
            <w:r>
              <w:rPr>
                <w:rFonts w:ascii="Times New Roman" w:hAnsi="Times New Roman"/>
                <w:sz w:val="20"/>
              </w:rPr>
              <w:t xml:space="preserve">N</w:t>
            </w:r>
            <w:r>
              <w:rPr>
                <w:rFonts w:ascii="Times New Roman" w:hAnsi="Times New Roman"/>
                <w:sz w:val="20"/>
                <w:vertAlign w:val="subscript"/>
              </w:rPr>
              <w:t xml:space="preserve">4</w:t>
            </w:r>
            <w:r>
              <w:rPr>
                <w:rFonts w:ascii="Times New Roman" w:hAnsi="Times New Roman"/>
                <w:sz w:val="20"/>
              </w:rPr>
              <w:t xml:space="preserve">O</w:t>
            </w:r>
            <w:r>
              <w:rPr>
                <w:rFonts w:ascii="Times New Roman" w:hAnsi="Times New Roman"/>
                <w:sz w:val="20"/>
                <w:vertAlign w:val="subscript"/>
              </w:rPr>
              <w:t xml:space="preserve">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O=[N+]([O-])OCC1([N+](=O)[O-])C=N1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small-ring nitrate ester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3</w:t>
            </w:r>
            <w:r>
              <w:rPr>
                <w:rFonts w:ascii="Times New Roman" w:hAnsi="Times New Roman"/>
                <w:sz w:val="20"/>
              </w:rPr>
              <w:t xml:space="preserve">H</w:t>
            </w:r>
            <w:r>
              <w:rPr>
                <w:rFonts w:ascii="Times New Roman" w:hAnsi="Times New Roman"/>
                <w:sz w:val="20"/>
                <w:vertAlign w:val="subscript"/>
              </w:rPr>
              <w:t xml:space="preserve">3</w:t>
            </w:r>
            <w:r>
              <w:rPr>
                <w:rFonts w:ascii="Times New Roman" w:hAnsi="Times New Roman"/>
                <w:sz w:val="20"/>
              </w:rPr>
              <w:t xml:space="preserve">N</w:t>
            </w:r>
            <w:r>
              <w:rPr>
                <w:rFonts w:ascii="Times New Roman" w:hAnsi="Times New Roman"/>
                <w:sz w:val="20"/>
                <w:vertAlign w:val="subscript"/>
              </w:rPr>
              <w:t xml:space="preserve">3</w:t>
            </w:r>
            <w:r>
              <w:rPr>
                <w:rFonts w:ascii="Times New Roman" w:hAnsi="Times New Roman"/>
                <w:sz w:val="20"/>
              </w:rPr>
              <w:t xml:space="preserve">O</w:t>
            </w:r>
            <w:r>
              <w:rPr>
                <w:rFonts w:ascii="Times New Roman" w:hAnsi="Times New Roman"/>
                <w:sz w:val="20"/>
                <w:vertAlign w:val="subscript"/>
              </w:rPr>
              <w:t xml:space="preserve">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O=[N+]([O-])c1c[nH]c([N+](=O)[O-])c1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NH-pyrrole nitroaromatic</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4</w:t>
            </w:r>
            <w:r>
              <w:rPr>
                <w:rFonts w:ascii="Times New Roman" w:hAnsi="Times New Roman"/>
                <w:sz w:val="20"/>
              </w:rPr>
              <w:t xml:space="preserve">H</w:t>
            </w:r>
            <w:r>
              <w:rPr>
                <w:rFonts w:ascii="Times New Roman" w:hAnsi="Times New Roman"/>
                <w:sz w:val="20"/>
                <w:vertAlign w:val="subscript"/>
              </w:rPr>
              <w:t xml:space="preserve">3</w:t>
            </w:r>
            <w:r>
              <w:rPr>
                <w:rFonts w:ascii="Times New Roman" w:hAnsi="Times New Roman"/>
                <w:sz w:val="20"/>
              </w:rPr>
              <w:t xml:space="preserve">N</w:t>
            </w:r>
            <w:r>
              <w:rPr>
                <w:rFonts w:ascii="Times New Roman" w:hAnsi="Times New Roman"/>
                <w:sz w:val="20"/>
                <w:vertAlign w:val="subscript"/>
              </w:rPr>
              <w:t xml:space="preserve">3</w:t>
            </w:r>
            <w:r>
              <w:rPr>
                <w:rFonts w:ascii="Times New Roman" w:hAnsi="Times New Roman"/>
                <w:sz w:val="20"/>
              </w:rPr>
              <w:t xml:space="preserve">O</w:t>
            </w:r>
            <w:r>
              <w:rPr>
                <w:rFonts w:ascii="Times New Roman" w:hAnsi="Times New Roman"/>
                <w:sz w:val="20"/>
                <w:vertAlign w:val="subscript"/>
              </w:rPr>
              <w:t xml:space="preserve">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(retry)</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N=C1C(O[N+](=O)[O-])=CC1[N+](=O)[O-]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cyclobutenimine nitrate ester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4</w:t>
            </w:r>
            <w:r>
              <w:rPr>
                <w:rFonts w:ascii="Times New Roman" w:hAnsi="Times New Roman"/>
                <w:sz w:val="20"/>
              </w:rPr>
              <w:t xml:space="preserve">H</w:t>
            </w:r>
            <w:r>
              <w:rPr>
                <w:rFonts w:ascii="Times New Roman" w:hAnsi="Times New Roman"/>
                <w:sz w:val="20"/>
                <w:vertAlign w:val="subscript"/>
              </w:rPr>
              <w:t xml:space="preserve">3</w:t>
            </w:r>
            <w:r>
              <w:rPr>
                <w:rFonts w:ascii="Times New Roman" w:hAnsi="Times New Roman"/>
                <w:sz w:val="20"/>
              </w:rPr>
              <w:t xml:space="preserve">N</w:t>
            </w:r>
            <w:r>
              <w:rPr>
                <w:rFonts w:ascii="Times New Roman" w:hAnsi="Times New Roman"/>
                <w:sz w:val="20"/>
                <w:vertAlign w:val="subscript"/>
              </w:rPr>
              <w:t xml:space="preserve">3</w:t>
            </w:r>
            <w:r>
              <w:rPr>
                <w:rFonts w:ascii="Times New Roman" w:hAnsi="Times New Roman"/>
                <w:sz w:val="20"/>
              </w:rPr>
              <w:t xml:space="preserve">O</w:t>
            </w:r>
            <w:r>
              <w:rPr>
                <w:rFonts w:ascii="Times New Roman" w:hAnsi="Times New Roman"/>
                <w:sz w:val="20"/>
                <w:vertAlign w:val="subscript"/>
              </w:rPr>
              <w:t xml:space="preserve">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1.68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CC1(C([N+](=O)[O-])[N+](=O)[O-])C=C([N+](=O)[O-])C=C1[N+](=O)[O-]</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geminal polynitro carbocycle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7</w:t>
            </w:r>
            <w:r>
              <w:rPr>
                <w:rFonts w:ascii="Times New Roman" w:hAnsi="Times New Roman"/>
                <w:sz w:val="20"/>
              </w:rPr>
              <w:t xml:space="preserve">H</w:t>
            </w:r>
            <w:r>
              <w:rPr>
                <w:rFonts w:ascii="Times New Roman" w:hAnsi="Times New Roman"/>
                <w:sz w:val="20"/>
                <w:vertAlign w:val="subscript"/>
              </w:rPr>
              <w:t xml:space="preserve">6</w:t>
            </w:r>
            <w:r>
              <w:rPr>
                <w:rFonts w:ascii="Times New Roman" w:hAnsi="Times New Roman"/>
                <w:sz w:val="20"/>
              </w:rPr>
              <w:t xml:space="preserve">N</w:t>
            </w:r>
            <w:r>
              <w:rPr>
                <w:rFonts w:ascii="Times New Roman" w:hAnsi="Times New Roman"/>
                <w:sz w:val="20"/>
                <w:vertAlign w:val="subscript"/>
              </w:rPr>
              <w:t xml:space="preserve">4</w:t>
            </w:r>
            <w:r>
              <w:rPr>
                <w:rFonts w:ascii="Times New Roman" w:hAnsi="Times New Roman"/>
                <w:sz w:val="20"/>
              </w:rPr>
              <w:t xml:space="preserve">O</w:t>
            </w:r>
            <w:r>
              <w:rPr>
                <w:rFonts w:ascii="Times New Roman" w:hAnsi="Times New Roman"/>
                <w:sz w:val="20"/>
                <w:vertAlign w:val="subscript"/>
              </w:rPr>
              <w:t xml:space="preserve">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c1nnn[nH]1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bare 1H-tetrazole (no NO</w:t>
            </w:r>
            <w:r>
              <w:rPr>
                <w:rFonts w:ascii="Times New Roman" w:hAnsi="Times New Roman"/>
                <w:sz w:val="20"/>
                <w:vertAlign w:val="subscript"/>
              </w:rPr>
              <w:t xml:space="preserve">2</w:t>
            </w:r>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CH</w:t>
            </w:r>
            <w:r>
              <w:rPr>
                <w:rFonts w:ascii="Times New Roman" w:hAnsi="Times New Roman"/>
                <w:sz w:val="20"/>
                <w:vertAlign w:val="subscript"/>
              </w:rPr>
              <w:t xml:space="preserve">2</w:t>
            </w:r>
            <w:r>
              <w:rPr>
                <w:rFonts w:ascii="Times New Roman" w:hAnsi="Times New Roman"/>
                <w:sz w:val="20"/>
              </w:rPr>
              <w:t xml:space="preserve">N</w:t>
            </w:r>
            <w:r>
              <w:rPr>
                <w:rFonts w:ascii="Times New Roman" w:hAnsi="Times New Roman"/>
                <w:sz w:val="20"/>
                <w:vertAlign w:val="subscript"/>
              </w:rPr>
              <w:t xml:space="preserve">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4.92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E10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Style w:val="VerbatimChar"/>
                <w:rFonts w:ascii="Times New Roman" w:hAnsi="Times New Roman"/>
                <w:sz w:val="20"/>
              </w:rPr>
              <w:t xml:space="preserve">O=[N+]([O-])C1=NCC=N1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nitro-imidazoline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C</w:t>
            </w:r>
            <w:r>
              <w:rPr>
                <w:rFonts w:ascii="Times New Roman" w:hAnsi="Times New Roman"/>
                <w:sz w:val="20"/>
                <w:vertAlign w:val="subscript"/>
              </w:rPr>
              <w:t xml:space="preserve">3</w:t>
            </w:r>
            <w:r>
              <w:rPr>
                <w:rFonts w:ascii="Times New Roman" w:hAnsi="Times New Roman"/>
                <w:sz w:val="20"/>
              </w:rPr>
              <w:t xml:space="preserve">H</w:t>
            </w:r>
            <w:r>
              <w:rPr>
                <w:rFonts w:ascii="Times New Roman" w:hAnsi="Times New Roman"/>
                <w:sz w:val="20"/>
                <w:vertAlign w:val="subscript"/>
              </w:rPr>
              <w:t xml:space="preserve">3</w:t>
            </w:r>
            <w:r>
              <w:rPr>
                <w:rFonts w:ascii="Times New Roman" w:hAnsi="Times New Roman"/>
                <w:sz w:val="20"/>
              </w:rPr>
              <w:t xml:space="preserve">N</w:t>
            </w:r>
            <w:r>
              <w:rPr>
                <w:rFonts w:ascii="Times New Roman" w:hAnsi="Times New Roman"/>
                <w:sz w:val="20"/>
                <w:vertAlign w:val="subscript"/>
              </w:rPr>
              <w:t xml:space="preserve">3</w:t>
            </w:r>
            <w:r>
              <w:rPr>
                <w:rFonts w:ascii="Times New Roman" w:hAnsi="Times New Roman"/>
                <w:sz w:val="20"/>
              </w:rPr>
              <w:t xml:space="preserve">O</w:t>
            </w:r>
            <w:r>
              <w:rPr>
                <w:rFonts w:ascii="Times New Roman" w:hAnsi="Times New Roman"/>
                <w:sz w:val="20"/>
                <w:vertAlign w:val="subscript"/>
              </w:rPr>
              <w:t xml:space="preserve">2</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1.65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yes</w:t>
            </w:r>
          </w:p>
        </w:tc>
      </w:tr>
    </w:tbl>
    <w:p>
      <w:pPr>
        <w:pStyle w:val="BodyText"/>
        <w:spacing w:before="160"/>
        <w:jc w:val="both"/>
        <w:keepNext w:val="0"/>
        <w:keepLines w:val="0"/>
        <w:widowControl w:val="1"/>
      </w:pPr>
      <w:r>
        <w:t xml:space="preserve">†E2 D and P are flagged: OB = +28.9 % exceeds the +25 % K-J reliability limit; these values are upper-bound estimates only (see §5.4 E2 audit). E9 K-J is undefined (OB &lt; −200 %).</w:t>
      </w:r>
    </w:p>
    <w:p>
      <w:pPr>
        <w:pStyle w:val="TableCaption"/>
        <w:spacing w:before="160" w:after="60" w:line="240" w:lineRule="auto"/>
        <w:jc w:val="center"/>
        <w:keepNext/>
        <w:keepLines/>
        <w:widowControl w:val="1"/>
      </w:pPr>
      <w:r>
        <w:rPr>
          <w:b/>
          <w:bCs/>
        </w:rPr>
        <w:t xml:space="preserve">Table 7.</w:t>
      </w:r>
      <w:r>
        <w:t xml:space="preserve"> </w:t>
      </w:r>
      <w:r>
        <w:t xml:space="preserve">Extension-set leads: DFT, 6-anchor calibration, Kamlet–Jacobs, and h</w:t>
      </w:r>
      <w:r>
        <w:rPr>
          <w:vertAlign w:val="subscript"/>
        </w:rPr>
        <w:t xml:space="preserve">50</w:t>
      </w:r>
      <w:r>
        <w:t xml:space="preserve">. Columns: lead ID, raw DFT density ρ</w:t>
      </w:r>
      <w:r>
        <w:rPr>
          <w:vertAlign w:val="subscript"/>
        </w:rPr>
        <w:t xml:space="preserve">DFT</w:t>
      </w:r>
      <w:r>
        <w:t xml:space="preserve"> </w:t>
      </w:r>
      <w:r>
        <w:t xml:space="preserve">(g/cm</w:t>
      </w:r>
      <w:r>
        <w:rPr>
          <w:vertAlign w:val="superscript"/>
        </w:rPr>
        <w:t xml:space="preserve">3</w:t>
      </w:r>
      <w:r>
        <w:t xml:space="preserve">), 6-anchor-calibrated density ρ</w:t>
      </w:r>
      <w:r>
        <w:rPr>
          <w:vertAlign w:val="subscript"/>
        </w:rPr>
        <w:t xml:space="preserve">cal</w:t>
      </w:r>
      <w:r>
        <w:t xml:space="preserve"> </w:t>
      </w:r>
      <w:r>
        <w:t xml:space="preserve">(g/cm</w:t>
      </w:r>
      <w:r>
        <w:rPr>
          <w:vertAlign w:val="superscript"/>
        </w:rPr>
        <w:t xml:space="preserve">3</w:t>
      </w:r>
      <w:r>
        <w:t xml:space="preserve">), raw DFT heat of formation HOF</w:t>
      </w:r>
      <w:r>
        <w:rPr>
          <w:vertAlign w:val="subscript"/>
        </w:rPr>
        <w:t xml:space="preserve">DFT</w:t>
      </w:r>
      <w:r>
        <w:t xml:space="preserve"> </w:t>
      </w:r>
      <w:r>
        <w:t xml:space="preserve">(kJ/mol), calibrated HOF</w:t>
      </w:r>
      <w:r>
        <w:rPr>
          <w:vertAlign w:val="subscript"/>
        </w:rPr>
        <w:t xml:space="preserve">cal</w:t>
      </w:r>
      <w:r>
        <w:t xml:space="preserve"> </w:t>
      </w:r>
      <w:r>
        <w:t xml:space="preserve">(kJ/mol), Kamlet–Jacobs detonation velocity on calibrated inputs D</w:t>
      </w:r>
      <w:r>
        <w:rPr>
          <w:vertAlign w:val="subscript"/>
        </w:rPr>
        <w:t xml:space="preserve">K-J,cal</w:t>
      </w:r>
      <w:r>
        <w:t xml:space="preserve"> </w:t>
      </w:r>
      <w:r>
        <w:t xml:space="preserve">(km/s), Kamlet–Jacobs detonation pressure P</w:t>
      </w:r>
      <w:r>
        <w:rPr>
          <w:vertAlign w:val="subscript"/>
        </w:rPr>
        <w:t xml:space="preserve">K-J,cal</w:t>
      </w:r>
      <w:r>
        <w:t xml:space="preserve"> </w:t>
      </w:r>
      <w:r>
        <w:t xml:space="preserve">(GPa), and Politzer–Murray BDE-correlated drop-weight impact sensitivity h</w:t>
      </w:r>
      <w:r>
        <w:rPr>
          <w:vertAlign w:val="subscript"/>
        </w:rPr>
        <w:t xml:space="preserve">50,BDE</w:t>
      </w:r>
      <w:r>
        <w:t xml:space="preserve"> </w:t>
      </w:r>
      <w:r>
        <w:t xml:space="preserve">(cm).</w:t>
      </w:r>
      <w:r>
        <w:t xml:space="preserve"> </w:t>
      </w:r>
      <w:r>
        <w:rPr>
          <w:vertAlign w:val="superscript"/>
        </w:rPr>
        <w:t xml:space="preserve">†</w:t>
      </w:r>
      <w:r>
        <w:t xml:space="preserve">E2 D and P are flagged: OB = +28.9 % exceeds the +25 % K-J reliability limit; these values are upper-bound estimates only (see §5.4 E2 audit). E9 K-J is undefined (OB &lt; −200 %).</w:t>
      </w:r>
    </w:p>
    <w:tbl>
      <w:tblPr>
        <w:tblStyle w:val="Table"/>
        <w:tblW w:type="pct" w:w="5000"/>
        <w:jc w:val="center"/>
        <w:tblLook w:firstRow="1" w:lastRow="0" w:firstColumn="0" w:lastColumn="0" w:noHBand="0" w:noVBand="0" w:val="0020"/>
        <w:tblCaption w:val="Table 7. Extension-set leads: DFT, 6-anchor calibration, Kamlet–Jacobs, and h50. Columns: lead ID, raw DFT density ρDFT (g/cm3), 6-anchor-calibrated density ρcal (g/cm3), raw DFT heat of formation HOFDFT (kJ/mol), calibrated HOFcal (kJ/mol), Kamlet–Jacobs detonation velocity on calibrated inputs DK-J,cal (km/s), Kamlet–Jacobs detonation pressure PK-J,cal (GPa), and Politzer–Murray BDE-correlated drop-weight impact sensitivity h50,BDE (cm). †E2 D and P are flagged: OB = +28.9 % exceeds the +25 % K-J reliability limit; these values are upper-bound estimates only (see §5.4 E2 audit). E9 K-J is undefined (OB &lt; −200 %)."/>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ID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ρ</w:t>
            </w:r>
            <w:r>
              <w:rPr>
                <w:rFonts w:ascii="Times New Roman" w:hAnsi="Times New Roman"/>
                <w:b/>
                <w:sz w:val="19"/>
                <w:vertAlign w:val="subscript"/>
              </w:rPr>
              <w:t xml:space="preserve">DFT</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ρ</w:t>
            </w:r>
            <w:r>
              <w:rPr>
                <w:rFonts w:ascii="Times New Roman" w:hAnsi="Times New Roman"/>
                <w:b/>
                <w:sz w:val="19"/>
                <w:vertAlign w:val="subscript"/>
              </w:rPr>
              <w:t xml:space="preserve">cal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HOF</w:t>
            </w:r>
            <w:r>
              <w:rPr>
                <w:rFonts w:ascii="Times New Roman" w:hAnsi="Times New Roman"/>
                <w:b/>
                <w:sz w:val="19"/>
                <w:vertAlign w:val="subscript"/>
              </w:rPr>
              <w:t xml:space="preserve">DFT</w:t>
            </w:r>
            <w:r>
              <w:rPr>
                <w:rFonts w:ascii="Times New Roman" w:hAnsi="Times New Roman"/>
                <w:b/>
                <w:sz w:val="19"/>
              </w:rPr>
              <w:t xml:space="preserve"> </w:t>
            </w:r>
            <w:r>
              <w:rPr>
                <w:rFonts w:ascii="Times New Roman" w:hAnsi="Times New Roman"/>
                <w:b/>
                <w:sz w:val="19"/>
              </w:rPr>
              <w:t xml:space="preserve">(kJ/mol)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HOF</w:t>
            </w:r>
            <w:r>
              <w:rPr>
                <w:rFonts w:ascii="Times New Roman" w:hAnsi="Times New Roman"/>
                <w:b/>
                <w:sz w:val="19"/>
                <w:vertAlign w:val="subscript"/>
              </w:rPr>
              <w:t xml:space="preserve">cal</w:t>
            </w:r>
            <w:r>
              <w:rPr>
                <w:rFonts w:ascii="Times New Roman" w:hAnsi="Times New Roman"/>
                <w:b/>
                <w:sz w:val="19"/>
              </w:rPr>
              <w:t xml:space="preserve"> </w:t>
            </w:r>
            <w:r>
              <w:rPr>
                <w:rFonts w:ascii="Times New Roman" w:hAnsi="Times New Roman"/>
                <w:b/>
                <w:sz w:val="19"/>
              </w:rPr>
              <w:t xml:space="preserve">(kJ/mol)</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D</w:t>
            </w:r>
            <w:r>
              <w:rPr>
                <w:rFonts w:ascii="Times New Roman" w:hAnsi="Times New Roman"/>
                <w:b/>
                <w:sz w:val="19"/>
                <w:vertAlign w:val="subscript"/>
              </w:rPr>
              <w:t xml:space="preserve">K-J,cal</w:t>
            </w:r>
            <w:r>
              <w:rPr>
                <w:rFonts w:ascii="Times New Roman" w:hAnsi="Times New Roman"/>
                <w:b/>
                <w:sz w:val="19"/>
              </w:rPr>
              <w:t xml:space="preserve"> </w:t>
            </w:r>
            <w:r>
              <w:rPr>
                <w:rFonts w:ascii="Times New Roman" w:hAnsi="Times New Roman"/>
                <w:b/>
                <w:sz w:val="19"/>
              </w:rPr>
              <w:t xml:space="preserve">(km/s)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P</w:t>
            </w:r>
            <w:r>
              <w:rPr>
                <w:rFonts w:ascii="Times New Roman" w:hAnsi="Times New Roman"/>
                <w:b/>
                <w:sz w:val="19"/>
                <w:vertAlign w:val="subscript"/>
              </w:rPr>
              <w:t xml:space="preserve">K-J,cal</w:t>
            </w:r>
            <w:r>
              <w:rPr>
                <w:rFonts w:ascii="Times New Roman" w:hAnsi="Times New Roman"/>
                <w:b/>
                <w:sz w:val="19"/>
              </w:rPr>
              <w:t xml:space="preserve"> </w:t>
            </w:r>
            <w:r>
              <w:rPr>
                <w:rFonts w:ascii="Times New Roman" w:hAnsi="Times New Roman"/>
                <w:b/>
                <w:sz w:val="19"/>
              </w:rPr>
              <w:t xml:space="preserve">(GPa)</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h50</w:t>
            </w:r>
            <w:r>
              <w:rPr>
                <w:rFonts w:ascii="Times New Roman" w:hAnsi="Times New Roman"/>
                <w:b/>
                <w:sz w:val="19"/>
                <w:vertAlign w:val="subscript"/>
              </w:rPr>
              <w:t xml:space="preserve">BDE</w:t>
            </w:r>
            <w:r>
              <w:rPr>
                <w:rFonts w:ascii="Times New Roman" w:hAnsi="Times New Roman"/>
                <w:b/>
                <w:sz w:val="19"/>
              </w:rPr>
              <w:t xml:space="preserve"> </w:t>
            </w:r>
            <w:r>
              <w:rPr>
                <w:rFonts w:ascii="Times New Roman" w:hAnsi="Times New Roman"/>
                <w:b/>
                <w:sz w:val="19"/>
              </w:rPr>
              <w:t xml:space="preserve">(cm)</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1.765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2.043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320.1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9.00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82.7</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1.730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1.994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42.7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−164.0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9.22†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1.678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1.921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214.8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1.669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1.909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332.4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125.8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7.39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1.590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1.798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195.1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−11.6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7.19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22.9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1.576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1.779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123.5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−83.2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6.58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38.3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1.584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1.790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235.5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28.8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6.74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24.8</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1.580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1.784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171.0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−35.7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6.73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44.1</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E9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1.453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1.608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506.9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300.2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n/a</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n/a</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53.8</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E10</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1.483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1.649</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249.1</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42.5</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5.52</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12.8</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53.8</w:t>
            </w:r>
          </w:p>
        </w:tc>
      </w:tr>
    </w:tbl>
    <w:p>
      <w:pPr>
        <w:pStyle w:val="BodyText"/>
        <w:spacing w:before="160"/>
        <w:jc w:val="both"/>
        <w:keepNext w:val="0"/>
        <w:keepLines w:val="0"/>
        <w:widowControl w:val="1"/>
      </w:pPr>
      <w:r>
        <w:rPr>
          <w:b/>
          <w:bCs/>
        </w:rPr>
        <w:t xml:space="preserve">E1 oxatriazole as a co-headline finding.</w:t>
      </w:r>
      <w:r>
        <w:t xml:space="preserve"> </w:t>
      </w:r>
      <w:r>
        <w:t xml:space="preserve">Under the same 6-anchor calibration applied to L1, E1 (4-nitro-1,2,3,5-oxatriazole) reaches</w:t>
      </w:r>
      <w:r>
        <w:t xml:space="preserve"> </w:t>
      </w:r>
      <m:oMath>
        <m:sSub>
          <m:e>
            <m:r>
              <m:t>ρ</m:t>
            </m:r>
          </m:e>
          <m:sub>
            <m:r>
              <m:rPr>
                <m:nor/>
                <m:sty m:val="p"/>
              </m:rPr>
              <m:t>cal</m:t>
            </m:r>
          </m:sub>
        </m:sSub>
        <m:r>
          <m:rPr>
            <m:sty m:val="p"/>
          </m:rPr>
          <m:t>=</m:t>
        </m:r>
        <m:r>
          <m:t>2.04</m:t>
        </m:r>
      </m:oMath>
      <w:r>
        <w:rPr>
          <w:b/>
          <w:bCs/>
        </w:rPr>
        <w:t xml:space="preserve"> g/cm</w:t>
      </w:r>
      <w:r>
        <w:rPr>
          <w:b/>
          <w:bCs/>
          <w:vertAlign w:val="superscript"/>
        </w:rPr>
        <w:t xml:space="preserve">3</w:t>
      </w:r>
      <w:r>
        <w:rPr>
          <w:b/>
          <w:bCs/>
        </w:rPr>
        <w:t xml:space="preserve">,</w:t>
      </w:r>
      <w:r>
        <w:rPr>
          <w:b/>
          <w:bCs/>
        </w:rPr>
        <w:t xml:space="preserve"> </w:t>
      </w:r>
      <m:oMath>
        <m:sSub>
          <m:e>
            <m:r>
              <m:t>D</m:t>
            </m:r>
          </m:e>
          <m:sub>
            <m:r>
              <m:rPr>
                <m:nor/>
                <m:sty m:val="p"/>
              </m:rPr>
              <m:t>K-J,cal</m:t>
            </m:r>
          </m:sub>
        </m:sSub>
        <m:r>
          <m:rPr>
            <m:sty m:val="p"/>
          </m:rPr>
          <m:t>=</m:t>
        </m:r>
        <m:r>
          <m:t>9.00</m:t>
        </m:r>
      </m:oMath>
      <w:r>
        <w:rPr>
          <w:b/>
          <w:bCs/>
        </w:rPr>
        <w:t xml:space="preserve"> km/s,</w:t>
      </w:r>
      <w:r>
        <w:rPr>
          <w:b/>
          <w:bCs/>
        </w:rPr>
        <w:t xml:space="preserve"> </w:t>
      </w:r>
      <m:oMath>
        <m:sSub>
          <m:e>
            <m:r>
              <m:t>P</m:t>
            </m:r>
          </m:e>
          <m:sub>
            <m:r>
              <m:rPr>
                <m:nor/>
                <m:sty m:val="p"/>
              </m:rPr>
              <m:t>K-J,cal</m:t>
            </m:r>
          </m:sub>
        </m:sSub>
        <m:r>
          <m:rPr>
            <m:sty m:val="p"/>
          </m:rPr>
          <m:t>=</m:t>
        </m:r>
        <m:r>
          <m:t>38.6</m:t>
        </m:r>
      </m:oMath>
      <w:r>
        <w:rPr>
          <w:b/>
          <w:bCs/>
        </w:rPr>
        <w:t xml:space="preserve"> GPa</w:t>
      </w:r>
      <w:r>
        <w:t xml:space="preserve">, with a Politzer–Murray BDE-correlated h</w:t>
      </w:r>
      <w:r>
        <w:rPr>
          <w:vertAlign w:val="subscript"/>
        </w:rPr>
        <w:t xml:space="preserve">50</w:t>
      </w:r>
      <w:r>
        <w:t xml:space="preserve"> </w:t>
      </w:r>
      <w:r>
        <w:t xml:space="preserve">of 82.7 cm; both E1's calibrated</w:t>
      </w:r>
      <w:r>
        <w:t xml:space="preserve"> </w:t>
      </w:r>
      <m:oMath>
        <m:r>
          <m:t>D</m:t>
        </m:r>
      </m:oMath>
      <w:r>
        <w:t xml:space="preserve"> </w:t>
      </w:r>
      <w:r>
        <w:t xml:space="preserve">and</w:t>
      </w:r>
      <w:r>
        <w:t xml:space="preserve"> </w:t>
      </w:r>
      <m:oMath>
        <m:r>
          <m:t>ρ</m:t>
        </m:r>
      </m:oMath>
      <w:r>
        <w:t xml:space="preserve"> </w:t>
      </w:r>
      <w:r>
        <w:t xml:space="preserve">are higher than L1's. The 1,2,3,5-oxatriazole ring system has known thermal/Lewis-acid ring-opening pathways (Sheremetev 2007; Katritzky 2010); a dedicated BDE and DSC/TGA stability screen is required before E1 is promoted to synthesis priority (Appendix C.5 caveat block). Two honest readings of E1's headline number are possible without an oxatriazole-class anchor: (i) E1 is genuinely stronger than L1, giving the paper two HMX-class leads from disjoint chemotype families; or (ii) the K-J residual is chemotype-dependent and E1 is upper-bounded until an oxatriazole-anchor recompute (a thermochemical-equilibrium CJ on calibrated inputs and an oxatriazole-class anchor extension are scoped as future work in §6).</w:t>
      </w:r>
    </w:p>
    <w:p>
      <w:pPr>
        <w:pStyle w:val="BodyText"/>
        <w:jc w:val="both"/>
        <w:keepNext w:val="0"/>
        <w:keepLines w:val="0"/>
        <w:widowControl w:val="1"/>
      </w:pPr>
      <w:r>
        <w:t xml:space="preserve">Of the 10 E-set candidates,</w:t>
      </w:r>
      <w:r>
        <w:t xml:space="preserve"> </w:t>
      </w:r>
      <w:r>
        <w:rPr>
          <w:b/>
          <w:bCs/>
        </w:rPr>
        <w:t xml:space="preserve">4 of 9 with defined K-J clear</w:t>
      </w:r>
      <w:r>
        <w:rPr>
          <w:b/>
          <w:bCs/>
        </w:rPr>
        <w:t xml:space="preserve"> </w:t>
      </w:r>
      <m:oMath>
        <m:sSub>
          <m:e>
            <m:r>
              <m:t>D</m:t>
            </m:r>
          </m:e>
          <m:sub>
            <m:r>
              <m:rPr>
                <m:nor/>
                <m:sty m:val="p"/>
              </m:rPr>
              <m:t>K-J,cal</m:t>
            </m:r>
          </m:sub>
        </m:sSub>
        <m:r>
          <m:rPr>
            <m:sty m:val="p"/>
          </m:rPr>
          <m:t>≥</m:t>
        </m:r>
        <m:r>
          <m:t>7.0</m:t>
        </m:r>
      </m:oMath>
      <w:r>
        <w:rPr>
          <w:b/>
          <w:bCs/>
        </w:rPr>
        <w:t xml:space="preserve"> km/s</w:t>
      </w:r>
      <w:r>
        <w:t xml:space="preserve"> </w:t>
      </w:r>
      <w:r>
        <w:t xml:space="preserve">(E1–E4); 8 of 9 have h</w:t>
      </w:r>
      <w:r>
        <w:rPr>
          <w:vertAlign w:val="subscript"/>
        </w:rPr>
        <w:t xml:space="preserve">50BDE</w:t>
      </w:r>
      <w:r>
        <w:t xml:space="preserve"> </w:t>
      </w:r>
      <m:oMath>
        <m:r>
          <m:rPr>
            <m:sty m:val="p"/>
          </m:rPr>
          <m:t>≥</m:t>
        </m:r>
      </m:oMath>
      <w:r>
        <w:t xml:space="preserve"> </w:t>
      </w:r>
      <w:r>
        <w:t xml:space="preserve">30 cm. E9 (bare 1H-tetrazole) is a deliberate filter-check: K-J is undefined at its oxygen balance and Stage 4 correctly leaves</w:t>
      </w:r>
      <w:r>
        <w:t xml:space="preserve"> </w:t>
      </w:r>
      <m:oMath>
        <m:r>
          <m:t>D</m:t>
        </m:r>
      </m:oMath>
      <w:r>
        <w:t xml:space="preserve"> </w:t>
      </w:r>
      <w:r>
        <w:t xml:space="preserve">and</w:t>
      </w:r>
      <w:r>
        <w:t xml:space="preserve"> </w:t>
      </w:r>
      <m:oMath>
        <m:r>
          <m:t>P</m:t>
        </m:r>
      </m:oMath>
      <w:r>
        <w:t xml:space="preserve"> </w:t>
      </w:r>
      <w:r>
        <w:t xml:space="preserve">unreported. E2's K-J</w:t>
      </w:r>
      <w:r>
        <w:t xml:space="preserve"> </w:t>
      </w:r>
      <m:oMath>
        <m:r>
          <m:t>D</m:t>
        </m:r>
      </m:oMath>
      <w:r>
        <w:t xml:space="preserve"> </w:t>
      </w:r>
      <w:r>
        <w:t xml:space="preserve">(9.22 km/s) is upper-bound only because its OB = +28.9 % exceeds the +25 % K-J reliability limit (Appendix D.13). The L-set sits at the upper edge of a credible distribution; L1 and E1 are two HMX-class picks from chemically distinct families.</w:t>
      </w:r>
    </w:p>
    <w:bookmarkEnd w:id="116"/>
    <w:bookmarkEnd w:id="117"/>
    <w:bookmarkStart w:id="130" w:name="comparison-with-no-diffusion-baselines"/>
    <w:p>
      <w:pPr>
        <w:pStyle w:val="Heading3"/>
        <w:keepNext/>
        <w:keepLines/>
        <w:widowControl w:val="1"/>
      </w:pPr>
      <w:r>
        <w:t xml:space="preserve">5.5 Comparison with no-diffusion baselines</w:t>
      </w:r>
    </w:p>
    <w:p>
      <w:pPr>
        <w:pStyle w:val="FirstParagraph"/>
        <w:jc w:val="both"/>
        <w:keepNext w:val="0"/>
        <w:keepLines w:val="0"/>
        <w:widowControl w:val="1"/>
      </w:pPr>
      <w:r>
        <w:t xml:space="preserve">Four no-diffusion baselines were run through the same downstream pipeline on the same training corpus to isolate the contribution of the diffusion prior and guidance. The Gaussian-latent control and the matched-compute guided-vs-unguided headline are reported in §F.2 and §F.3 respectively. Results are in Table 8 and Figure 22.</w:t>
      </w:r>
    </w:p>
    <w:p>
      <w:pPr>
        <w:pStyle w:val="TableCaption"/>
        <w:spacing w:before="160" w:after="60" w:line="240" w:lineRule="auto"/>
        <w:jc w:val="center"/>
        <w:keepNext/>
        <w:keepLines/>
        <w:widowControl w:val="1"/>
      </w:pPr>
      <w:r>
        <w:rPr>
          <w:b/>
          <w:bCs/>
        </w:rPr>
        <w:t xml:space="preserve">Table 8.</w:t>
      </w:r>
      <w:r>
        <w:t xml:space="preserve"> </w:t>
      </w:r>
      <w:r>
        <w:t xml:space="preserve">Top-1 comparison: SMILES-LSTM, MolMIM 70 M, SELFIES-GA, and REINVENT 4 no-diffusion baselines vs. unguided and best-novel DGLD conditions from Table 9. Columns: top-1 composite;</w:t>
      </w:r>
      <w:r>
        <w:t xml:space="preserve"> </w:t>
      </w:r>
      <m:oMath>
        <m:r>
          <m:t>D</m:t>
        </m:r>
      </m:oMath>
      <w:r>
        <w:t xml:space="preserve">,</w:t>
      </w:r>
      <w:r>
        <w:t xml:space="preserve"> </w:t>
      </w:r>
      <m:oMath>
        <m:r>
          <m:t>ρ</m:t>
        </m:r>
      </m:oMath>
      <w:r>
        <w:t xml:space="preserve">,</w:t>
      </w:r>
      <w:r>
        <w:t xml:space="preserve"> </w:t>
      </w:r>
      <m:oMath>
        <m:r>
          <m:t>P</m:t>
        </m:r>
      </m:oMath>
      <w:r>
        <w:t xml:space="preserve">; max-Tanimoto to LM; seeds; memorisation rate (fraction of valid unique samples that are exact labelled-master matches).</w:t>
      </w:r>
      <w:r>
        <w:t xml:space="preserve"> </w:t>
      </w:r>
      <w:r>
        <w:rPr>
          <w:vertAlign w:val="superscript"/>
        </w:rPr>
        <w:t xml:space="preserve">†</w:t>
      </w:r>
      <w:r>
        <w:t xml:space="preserve">SELFIES-GA composite is internal-to-the-run (viability fixed at 0.5, novelty assumed 1.0 during search); it is not on the same basis as the DGLD/LSTM pipeline composite and is omitted from direct comparison.</w:t>
      </w:r>
      <w:r>
        <w:t xml:space="preserve"> </w:t>
      </w:r>
      <w:r>
        <w:rPr>
          <w:vertAlign w:val="superscript"/>
        </w:rPr>
        <w:t xml:space="preserve">‡</w:t>
      </w:r>
      <w:r>
        <w:t xml:space="preserve">REINVENT 4 composite is N-fraction proxy (not full DGLD reranker);</w:t>
      </w:r>
      <w:r>
        <w:t xml:space="preserve"> </w:t>
      </w:r>
      <m:oMath>
        <m:r>
          <m:t>D</m:t>
        </m:r>
        <m:r>
          <m:rPr>
            <m:sty m:val="p"/>
          </m:rPr>
          <m:t>/</m:t>
        </m:r>
        <m:r>
          <m:t>ρ</m:t>
        </m:r>
        <m:r>
          <m:rPr>
            <m:sty m:val="p"/>
          </m:rPr>
          <m:t>/</m:t>
        </m:r>
        <m:r>
          <m:t>P</m:t>
        </m:r>
      </m:oMath>
      <w:r>
        <w:t xml:space="preserve"> </w:t>
      </w:r>
      <w:r>
        <w:t xml:space="preserve">are Uni-Mol 3D-CNN scores for the seed-42 top-100 by N-fraction, post-hoc (the RL reward was N-fraction, not the DGLD composite); max-Tanimoto for the top-100 is in the [0.15, 0.65] novelty window (not memorisation).</w:t>
      </w:r>
    </w:p>
    <w:tbl>
      <w:tblPr>
        <w:tblStyle w:val="Table"/>
        <w:tblW w:type="pct" w:w="5000"/>
        <w:jc w:val="center"/>
        <w:tblLayout w:type="autofit"/>
        <w:tblLook w:firstRow="1" w:lastRow="0" w:firstColumn="0" w:lastColumn="0" w:noHBand="0" w:noVBand="0" w:val="0020"/>
        <w:tblCaption w:val="Table 8. Top-1 comparison: SMILES-LSTM, MolMIM 70 M, SELFIES-GA, and REINVENT 4 no-diffusion baselines vs. unguided and best-novel DGLD conditions from Table 9. Columns: top-1 composite; D, \rho, P; max-Tanimoto to LM; seeds; memorisation rate (fraction of valid unique samples that are exact labelled-master matches). †SELFIES-GA composite is internal-to-the-run (viability fixed at 0.5, novelty assumed 1.0 during search); it is not on the same basis as the DGLD/LSTM pipeline composite and is omitted from direct comparison. ‡REINVENT 4 composite is N-fraction proxy (not full DGLD reranker); D/\rho/P are Uni-Mol 3D-CNN scores for the seed-42 top-100 by N-fraction, post-hoc (the RL reward was N-fraction, not the DGLD composite); max-Tanimoto for the top-100 is in the [0.15, 0.65] novelty window (not memorisation)."/>
        <w:tblBorders>
          <w:top w:val="single" w:sz="10" w:color="4F6272"/>
          <w:bottom w:val="single" w:sz="10" w:color="4F6272"/>
          <w:insideH w:val="single" w:sz="5" w:color="9FB0C2"/>
          <w:left w:val="single" w:sz="6" w:color="9FB0C2"/>
          <w:right w:val="single" w:sz="6" w:color="9FB0C2"/>
          <w:insideV w:val="single" w:sz="5" w:color="D9E1E8"/>
        </w:tblBorders>
      </w:tblPr>
      <w:tblGrid>
        <w:gridCol w:w="990"/>
        <w:gridCol w:w="990"/>
        <w:gridCol w:w="990"/>
        <w:gridCol w:w="990"/>
        <w:gridCol w:w="990"/>
        <w:gridCol w:w="990"/>
        <w:gridCol w:w="990"/>
        <w:gridCol w:w="99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Method / condition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top-1 composite</w:t>
            </w:r>
            <w:r>
              <w:rPr>
                <w:rFonts w:ascii="Times New Roman" w:hAnsi="Times New Roman"/>
                <w:b/>
                <w:sz w:val="19"/>
              </w:rPr>
              <w:br/>
            </w:r>
            <w:r>
              <w:rPr>
                <w:rFonts w:ascii="Times New Roman" w:hAnsi="Times New Roman"/>
                <w:b/>
                <w:i/>
                <w:iCs/>
                <w:sz w:val="19"/>
              </w:rPr>
              <w:t xml:space="preserve">(lower = better)</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top-1</w:t>
            </w:r>
            <w:r>
              <w:rPr>
                <w:rFonts w:ascii="Times New Roman" w:hAnsi="Times New Roman"/>
                <w:b/>
                <w:sz w:val="19"/>
              </w:rPr>
              <w:t xml:space="preserve"> </w:t>
            </w:r>
            <m:oMath>
              <m:r>
                <m:t>D</m:t>
              </m:r>
            </m:oMath>
            <w:r>
              <w:rPr>
                <w:rFonts w:ascii="Times New Roman" w:hAnsi="Times New Roman"/>
                <w:b/>
                <w:sz w:val="19"/>
              </w:rPr>
              <w:t xml:space="preserve"> </w:t>
            </w:r>
            <w:r>
              <w:rPr>
                <w:rFonts w:ascii="Times New Roman" w:hAnsi="Times New Roman"/>
                <w:b/>
                <w:sz w:val="19"/>
              </w:rPr>
              <w:t xml:space="preserve">(km/s)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top-1</w:t>
            </w:r>
            <w:r>
              <w:rPr>
                <w:rFonts w:ascii="Times New Roman" w:hAnsi="Times New Roman"/>
                <w:b/>
                <w:sz w:val="19"/>
              </w:rPr>
              <w:t xml:space="preserve"> </w:t>
            </w:r>
            <m:oMath>
              <m:r>
                <m:t>ρ</m:t>
              </m:r>
            </m:oMath>
            <w:r>
              <w:rPr>
                <w:rFonts w:ascii="Times New Roman" w:hAnsi="Times New Roman"/>
                <w:b/>
                <w:sz w:val="19"/>
              </w:rPr>
              <w:t xml:space="preserve"> </w:t>
            </w:r>
            <w:r>
              <w:rPr>
                <w:rFonts w:ascii="Times New Roman" w:hAnsi="Times New Roman"/>
                <w:b/>
                <w:sz w:val="19"/>
              </w:rPr>
              <w:t xml:space="preserve">(g/cm</w:t>
            </w:r>
            <w:r>
              <w:rPr>
                <w:rFonts w:ascii="Times New Roman" w:hAnsi="Times New Roman"/>
                <w:b/>
                <w:sz w:val="19"/>
                <w:vertAlign w:val="superscript"/>
              </w:rPr>
              <w:t xml:space="preserve">3</w:t>
            </w:r>
            <w:r>
              <w:rPr>
                <w:rFonts w:ascii="Times New Roman" w:hAnsi="Times New Roman"/>
                <w:b/>
                <w:sz w:val="19"/>
              </w:rPr>
              <w:t xml:space="preserve">)</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top-1</w:t>
            </w:r>
            <w:r>
              <w:rPr>
                <w:rFonts w:ascii="Times New Roman" w:hAnsi="Times New Roman"/>
                <w:b/>
                <w:sz w:val="19"/>
              </w:rPr>
              <w:t xml:space="preserve"> </w:t>
            </w:r>
            <m:oMath>
              <m:r>
                <m:t>P</m:t>
              </m:r>
            </m:oMath>
            <w:r>
              <w:rPr>
                <w:rFonts w:ascii="Times New Roman" w:hAnsi="Times New Roman"/>
                <w:b/>
                <w:sz w:val="19"/>
              </w:rPr>
              <w:t xml:space="preserve"> </w:t>
            </w:r>
            <w:r>
              <w:rPr>
                <w:rFonts w:ascii="Times New Roman" w:hAnsi="Times New Roman"/>
                <w:b/>
                <w:sz w:val="19"/>
              </w:rPr>
              <w:t xml:space="preserve">(GPa)</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top-1 max-Tani to LM</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seeds</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memo rate</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SMILES-LSTM</w:t>
            </w:r>
            <w:r>
              <w:rPr>
                <w:rFonts w:ascii="Times New Roman" w:hAnsi="Times New Roman"/>
                <w:sz w:val="20"/>
              </w:rPr>
              <w:t xml:space="preserve"> </w:t>
            </w:r>
            <w:r>
              <w:rPr>
                <w:rFonts w:ascii="Times New Roman" w:hAnsi="Times New Roman"/>
                <w:sz w:val="20"/>
              </w:rPr>
              <w:t xml:space="preserve">(no diffusion)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0.083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9.58</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40.0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1.000</w:t>
            </w:r>
            <w:r>
              <w:rPr>
                <w:rFonts w:ascii="Times New Roman" w:hAnsi="Times New Roman"/>
                <w:sz w:val="20"/>
              </w:rPr>
              <w:t xml:space="preserve"> </w:t>
            </w:r>
            <w:r>
              <w:rPr>
                <w:rFonts w:ascii="Times New Roman" w:hAnsi="Times New Roman"/>
                <w:sz w:val="20"/>
              </w:rPr>
              <w:t xml:space="preserve">(exact LM match)</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18.3%</w:t>
            </w:r>
            <w:r>
              <w:rPr>
                <w:rFonts w:ascii="Times New Roman" w:hAnsi="Times New Roman"/>
                <w:b/>
                <w:bCs/>
                <w:sz w:val="20"/>
              </w:rPr>
              <w:t xml:space="preserve"> </w:t>
            </w:r>
            <m:oMath>
              <m:r>
                <m:rPr>
                  <m:sty m:val="p"/>
                </m:rPr>
                <m:t>±</m:t>
              </m:r>
            </m:oMath>
            <w:r>
              <w:rPr>
                <w:rFonts w:ascii="Times New Roman" w:hAnsi="Times New Roman"/>
                <w:b/>
                <w:bCs/>
                <w:sz w:val="20"/>
              </w:rPr>
              <w:t xml:space="preserve"> </w:t>
            </w:r>
            <w:r>
              <w:rPr>
                <w:rFonts w:ascii="Times New Roman" w:hAnsi="Times New Roman"/>
                <w:b/>
                <w:bCs/>
                <w:sz w:val="20"/>
              </w:rPr>
              <w:t xml:space="preserve">0.5%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MolMIM 70 M</w:t>
            </w:r>
            <w:r>
              <w:rPr>
                <w:rFonts w:ascii="Times New Roman" w:hAnsi="Times New Roman"/>
                <w:sz w:val="20"/>
              </w:rPr>
              <w:t xml:space="preserve"> </w:t>
            </w:r>
            <w:r>
              <w:rPr>
                <w:rFonts w:ascii="Times New Roman" w:hAnsi="Times New Roman"/>
                <w:sz w:val="20"/>
              </w:rPr>
              <w:t xml:space="preserve">(drug-domain pretrain, no diffusion)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4.79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7.70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1.76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25.5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0.625</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n.d.</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SELFIES-GA</w:t>
            </w:r>
            <w:r>
              <w:rPr>
                <w:rFonts w:ascii="Times New Roman" w:hAnsi="Times New Roman"/>
                <w:sz w:val="20"/>
              </w:rPr>
              <w:t xml:space="preserve"> </w:t>
            </w:r>
            <w:r>
              <w:rPr>
                <w:rFonts w:ascii="Times New Roman" w:hAnsi="Times New Roman"/>
                <w:sz w:val="20"/>
              </w:rPr>
              <w:t xml:space="preserve">(property optimisation, 2 000 pool, 30 gen)</w:t>
            </w:r>
            <w:r>
              <w:rPr>
                <w:rFonts w:ascii="Times New Roman" w:hAnsi="Times New Roman"/>
                <w:sz w:val="20"/>
                <w:vertAlign w:val="superscript"/>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n.c.</w:t>
            </w:r>
            <w:r>
              <w:rPr>
                <w:rFonts w:ascii="Times New Roman" w:hAnsi="Times New Roman"/>
                <w:sz w:val="20"/>
                <w:vertAlign w:val="superscript"/>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9.54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1.994</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40.9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1.000</w:t>
            </w:r>
            <w:r>
              <w:rPr>
                <w:rFonts w:ascii="Times New Roman" w:hAnsi="Times New Roman"/>
                <w:sz w:val="20"/>
              </w:rPr>
              <w:t xml:space="preserve"> </w:t>
            </w:r>
            <w:r>
              <w:rPr>
                <w:rFonts w:ascii="Times New Roman" w:hAnsi="Times New Roman"/>
                <w:sz w:val="20"/>
              </w:rPr>
              <w:t xml:space="preserve">(exact LM match; 75/100 rediscoveries)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75%</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REINVENT 4</w:t>
            </w:r>
            <w:r>
              <w:rPr>
                <w:rFonts w:ascii="Times New Roman" w:hAnsi="Times New Roman"/>
                <w:sz w:val="20"/>
              </w:rPr>
              <w:t xml:space="preserve"> </w:t>
            </w:r>
            <w:r>
              <w:rPr>
                <w:rFonts w:ascii="Times New Roman" w:hAnsi="Times New Roman"/>
                <w:sz w:val="20"/>
              </w:rPr>
              <w:t xml:space="preserve">(N-frac RL, 40k pool, seed 42)</w:t>
            </w:r>
            <w:r>
              <w:rPr>
                <w:rFonts w:ascii="Times New Roman" w:hAnsi="Times New Roman"/>
                <w:sz w:val="20"/>
                <w:vertAlign w:val="superscript"/>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0.42</w:t>
            </w:r>
            <w:r>
              <w:rPr>
                <w:rFonts w:ascii="Times New Roman" w:hAnsi="Times New Roman"/>
                <w:sz w:val="20"/>
                <w:vertAlign w:val="superscript"/>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9.02</w:t>
            </w:r>
            <w:r>
              <w:rPr>
                <w:rFonts w:ascii="Times New Roman" w:hAnsi="Times New Roman"/>
                <w:sz w:val="20"/>
                <w:vertAlign w:val="superscript"/>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1.85</w:t>
            </w:r>
            <w:r>
              <w:rPr>
                <w:rFonts w:ascii="Times New Roman" w:hAnsi="Times New Roman"/>
                <w:sz w:val="20"/>
                <w:vertAlign w:val="superscript"/>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34.5</w:t>
            </w:r>
            <w:r>
              <w:rPr>
                <w:rFonts w:ascii="Times New Roman" w:hAnsi="Times New Roman"/>
                <w:sz w:val="20"/>
                <w:vertAlign w:val="superscript"/>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0.57 (aminotetrazine); 0.32–0.38 (seeds 1-2)</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near-zero</w:t>
            </w:r>
            <w:r>
              <w:rPr>
                <w:rFonts w:ascii="Times New Roman" w:hAnsi="Times New Roman"/>
                <w:sz w:val="20"/>
              </w:rPr>
              <w:t xml:space="preserve"> </w:t>
            </w:r>
            <w:r>
              <w:rPr>
                <w:rFonts w:ascii="Times New Roman" w:hAnsi="Times New Roman"/>
                <w:sz w:val="20"/>
              </w:rPr>
              <w:t xml:space="preserve">&lt;0.1% (0.04% exact match, seeds 1-2; &lt;1% novelty-window, seed 42)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DGLD Hz-C0 = SA-C0 unguided (cfg-only)</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0.451</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0.126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9.44</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0.07</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1.93</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0.01</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39.7</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0.61</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0.10</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6</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0%</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DGLD Hz-C2 viab+sens+hazard</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0.485</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0.152</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9.39</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0.04</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1.91</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0.03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38.7</w:t>
            </w:r>
            <w:r>
              <w:rPr>
                <w:rFonts w:ascii="Times New Roman" w:hAnsi="Times New Roman"/>
                <w:sz w:val="20"/>
              </w:rPr>
              <w:t xml:space="preserve"> </w:t>
            </w:r>
            <m:oMath>
              <m:r>
                <m:rPr>
                  <m:sty m:val="p"/>
                </m:rPr>
                <m:t>±</m:t>
              </m:r>
            </m:oMath>
            <w:r>
              <w:rPr>
                <w:rFonts w:ascii="Times New Roman" w:hAnsi="Times New Roman"/>
                <w:sz w:val="20"/>
              </w:rPr>
              <w:t xml:space="preserve"> </w:t>
            </w:r>
            <w:r>
              <w:rPr>
                <w:rFonts w:ascii="Times New Roman" w:hAnsi="Times New Roman"/>
                <w:sz w:val="20"/>
              </w:rPr>
              <w:t xml:space="preserve">0.6</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0.27</w:t>
            </w:r>
            <w:r>
              <w:rPr>
                <w:rFonts w:ascii="Times New Roman" w:hAnsi="Times New Roman"/>
                <w:b/>
                <w:bCs/>
                <w:sz w:val="20"/>
              </w:rPr>
              <w:t xml:space="preserve"> </w:t>
            </w:r>
            <m:oMath>
              <m:r>
                <m:rPr>
                  <m:sty m:val="p"/>
                </m:rPr>
                <m:t>±</m:t>
              </m:r>
            </m:oMath>
            <w:r>
              <w:rPr>
                <w:rFonts w:ascii="Times New Roman" w:hAnsi="Times New Roman"/>
                <w:b/>
                <w:bCs/>
                <w:sz w:val="20"/>
              </w:rPr>
              <w:t xml:space="preserve"> </w:t>
            </w:r>
            <w:r>
              <w:rPr>
                <w:rFonts w:ascii="Times New Roman" w:hAnsi="Times New Roman"/>
                <w:b/>
                <w:bCs/>
                <w:sz w:val="20"/>
              </w:rPr>
              <w:t xml:space="preserve">0.03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3</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0%</w:t>
            </w:r>
          </w:p>
        </w:tc>
      </w:tr>
    </w:tbl>
    <w:bookmarkStart w:id="121" w:name="fig-baseline-forest"/>
    <w:p>
      <w:pPr>
        <w:pStyle w:val="BodyText"/>
        <w:jc w:val="center"/>
        <w:keepNext/>
        <w:keepLines/>
        <w:widowControl w:val="1"/>
      </w:pPr>
      <w:r>
        <w:drawing>
          <wp:inline>
            <wp:extent cx="5943600" cy="3272694"/>
            <wp:effectExtent b="0" l="0" r="0" t="0"/>
            <wp:docPr descr="Forest plot of top-1 Pareto-reranker composite penalty" title="" id="119" name="Picture"/>
            <a:graphic>
              <a:graphicData uri="http://schemas.openxmlformats.org/drawingml/2006/picture">
                <pic:pic>
                  <pic:nvPicPr>
                    <pic:cNvPr descr="figs/fig_baseline_forest.png" id="120" name="Picture"/>
                    <pic:cNvPicPr>
                      <a:picLocks noChangeArrowheads="1" noChangeAspect="1"/>
                    </pic:cNvPicPr>
                  </pic:nvPicPr>
                  <pic:blipFill>
                    <a:blip r:embed="rId118"/>
                    <a:stretch>
                      <a:fillRect/>
                    </a:stretch>
                  </pic:blipFill>
                  <pic:spPr bwMode="auto">
                    <a:xfrm>
                      <a:off x="0" y="0"/>
                      <a:ext cx="5943600" cy="3272694"/>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22.</w:t>
      </w:r>
      <w:r>
        <w:t xml:space="preserve"> </w:t>
      </w:r>
      <w:r>
        <w:t xml:space="preserve">Forest plot of top-1 Pareto-reranker composite penalty (mean</w:t>
      </w:r>
      <w:r>
        <w:t xml:space="preserve"> </w:t>
      </w:r>
      <m:oMath>
        <m:r>
          <m:rPr>
            <m:sty m:val="p"/>
          </m:rPr>
          <m:t>±</m:t>
        </m:r>
      </m:oMath>
      <w:r>
        <w:t xml:space="preserve"> </w:t>
      </w:r>
      <w:r>
        <w:t xml:space="preserve">s.d., lower is better) for DGLD hazard-axis (Hz-C0…Hz-C3) and SA-axis (SA-C1…SA-C3) conditions, SMILES-LSTM, MolMIM 70 M, REINVENT 4 (N-fraction proxy), and SELFIES-GA 2k (alt-scale composite). MolMIM is a drug-domain reference and its composite is on a different scale (uncalibrated); the bar extends to ~4.79 and is shown for completeness rather than direct comparison. Dashed line marks the SMILES-LSTM reference. SELFIES-GA composite is the 2k-pool internal score; see Table 8 footnotes for cross-method comparability caveats.</w:t>
      </w:r>
    </w:p>
    <w:bookmarkEnd w:id="121"/>
    <w:p>
      <w:pPr>
        <w:pStyle w:val="BodyText"/>
        <w:jc w:val="both"/>
        <w:keepNext w:val="0"/>
        <w:keepLines w:val="0"/>
        <w:widowControl w:val="1"/>
      </w:pPr>
      <w:r>
        <w:rPr>
          <w:b/>
          <w:bCs/>
        </w:rPr>
        <w:t xml:space="preserve">SELFIES-GA collapses under DFT audit.</w:t>
      </w:r>
      <w:r>
        <w:t xml:space="preserve"> </w:t>
      </w:r>
      <w:r>
        <w:rPr>
          <w:b/>
          <w:bCs/>
        </w:rPr>
        <w:t xml:space="preserve">SELFIES-GA</w:t>
      </w:r>
      <w:r>
        <w:t xml:space="preserve"> </w:t>
      </w:r>
      <w:r>
        <w:t xml:space="preserve">(2k-molecule pool, 30 generations) returns 75/100 top candidates as exact corpus rediscoveries (top-1 is a rediscovery); the best novel candidate at 2k is rank 5 (</w:t>
      </w:r>
      <m:oMath>
        <m:r>
          <m:t>D</m:t>
        </m:r>
        <m:r>
          <m:rPr>
            <m:sty m:val="p"/>
          </m:rPr>
          <m:t>=</m:t>
        </m:r>
        <m:r>
          <m:t>9.39</m:t>
        </m:r>
      </m:oMath>
      <w:r>
        <w:t xml:space="preserve"> km/s, max-Tanimoto 0.487); at 40k pool,</w:t>
      </w:r>
      <w:r>
        <w:t xml:space="preserve"> </w:t>
      </w:r>
      <w:r>
        <w:rPr>
          <w:b/>
          <w:bCs/>
        </w:rPr>
        <w:t xml:space="preserve">the best novel outlier reaches</w:t>
      </w:r>
      <w:r>
        <w:rPr>
          <w:b/>
          <w:bCs/>
        </w:rPr>
        <w:t xml:space="preserve"> </w:t>
      </w:r>
      <m:oMath>
        <m:sSub>
          <m:e>
            <m:r>
              <m:t>D</m:t>
            </m:r>
          </m:e>
          <m:sub>
            <m:r>
              <m:rPr>
                <m:nor/>
                <m:sty m:val="p"/>
              </m:rPr>
              <m:t>surrogate</m:t>
            </m:r>
          </m:sub>
        </m:sSub>
        <m:r>
          <m:rPr>
            <m:sty m:val="p"/>
          </m:rPr>
          <m:t>=</m:t>
        </m:r>
        <m:r>
          <m:t>9.73</m:t>
        </m:r>
      </m:oMath>
      <w:r>
        <w:rPr>
          <w:b/>
          <w:bCs/>
        </w:rPr>
        <w:t xml:space="preserve"> km/s but collapses to</w:t>
      </w:r>
      <w:r>
        <w:rPr>
          <w:b/>
          <w:bCs/>
        </w:rPr>
        <w:t xml:space="preserve"> </w:t>
      </w:r>
      <m:oMath>
        <m:sSub>
          <m:e>
            <m:r>
              <m:t>D</m:t>
            </m:r>
          </m:e>
          <m:sub>
            <m:r>
              <m:rPr>
                <m:nor/>
                <m:sty m:val="p"/>
              </m:rPr>
              <m:t>DFT</m:t>
            </m:r>
          </m:sub>
        </m:sSub>
        <m:r>
          <m:rPr>
            <m:sty m:val="p"/>
          </m:rPr>
          <m:t>=</m:t>
        </m:r>
        <m:r>
          <m:t>6.28</m:t>
        </m:r>
      </m:oMath>
      <w:r>
        <w:rPr>
          <w:b/>
          <w:bCs/>
        </w:rPr>
        <w:t xml:space="preserve"> km/s under the same DFT audit chain applied to DGLD leads (3.5 km/s surrogate artefact</w:t>
      </w:r>
      <w:r>
        <w:t xml:space="preserve">; the 3D-CNN is not calibrated for nitro-oxadiazole/triazole fused scaffolds).</w:t>
      </w:r>
      <w:r>
        <w:t xml:space="preserve"> </w:t>
      </w:r>
      <w:r>
        <w:rPr>
          <w:b/>
          <w:bCs/>
        </w:rPr>
        <w:t xml:space="preserve">SMILES-LSTM</w:t>
      </w:r>
      <w:r>
        <w:t xml:space="preserve"> </w:t>
      </w:r>
      <w:r>
        <w:t xml:space="preserve">(2-layer, 6 M parameters, trained on the same 326 k SMILES corpus): top-1 is an exact labelled-master rediscovery (max-Tanimoto = 1.000); memorisation rate 18.3% ± 0.5% across 3 seeds, seed-stable. The best novel top-1 is a 5-atom aminotriazole fragment with no 3D-CNN score; the model reproduces training data, not new energetic leads.</w:t>
      </w:r>
      <w:r>
        <w:t xml:space="preserve"> </w:t>
      </w:r>
      <w:r>
        <w:rPr>
          <w:b/>
          <w:bCs/>
        </w:rPr>
        <w:t xml:space="preserve">MolMIM 70 M</w:t>
      </w:r>
      <w:r>
        <w:t xml:space="preserve"> </w:t>
      </w:r>
      <w:r>
        <w:t xml:space="preserve">(drug-domain pretrained): top-1 novel at Tanimoto 0.625 but at</w:t>
      </w:r>
      <w:r>
        <w:t xml:space="preserve"> </w:t>
      </w:r>
      <m:oMath>
        <m:r>
          <m:t>D</m:t>
        </m:r>
        <m:r>
          <m:rPr>
            <m:sty m:val="p"/>
          </m:rPr>
          <m:t>=</m:t>
        </m:r>
        <m:r>
          <m:t>7.70</m:t>
        </m:r>
      </m:oMath>
      <w:r>
        <w:t xml:space="preserve"> km/s, far below HMX; uncalibrated for the energetic regime.</w:t>
      </w:r>
      <w:r>
        <w:t xml:space="preserve"> </w:t>
      </w:r>
      <w:r>
        <w:rPr>
          <w:b/>
          <w:bCs/>
        </w:rPr>
        <w:t xml:space="preserve">REINVENT 4</w:t>
      </w:r>
      <w:r>
        <w:t xml:space="preserve"> </w:t>
      </w:r>
      <w:r>
        <w:t xml:space="preserve">(N-fraction RL reward, 3 seeds, 40k pool): generates genuinely novel high-N heterocycles with exact memorisation below 0.1%; seed-42 top-100 Uni-Mol-scored at top-1</w:t>
      </w:r>
      <w:r>
        <w:t xml:space="preserve"> </w:t>
      </w:r>
      <m:oMath>
        <m:r>
          <m:t>D</m:t>
        </m:r>
        <m:r>
          <m:rPr>
            <m:sty m:val="p"/>
          </m:rPr>
          <m:t>=</m:t>
        </m:r>
        <m:r>
          <m:t>9.02</m:t>
        </m:r>
      </m:oMath>
      <w:r>
        <w:t xml:space="preserve"> km/s, 0.37 km/s below DGLD Hz-C2. N-fraction RL is a useful novelty lever but does not optimise directly for the D/ρ/P targets DGLD conditions on.</w:t>
      </w:r>
      <w:r>
        <w:t xml:space="preserve"> </w:t>
      </w:r>
      <w:r>
        <w:rPr>
          <w:b/>
          <w:bCs/>
        </w:rPr>
        <w:t xml:space="preserve">DGLD Hz-C2</w:t>
      </w:r>
      <w:r>
        <w:t xml:space="preserve"> </w:t>
      </w:r>
      <w:r>
        <w:t xml:space="preserve">is the only condition with consistent novel productive-quadrant coverage confirmed at DFT level.</w:t>
      </w:r>
      <w:r>
        <w:t xml:space="preserve"> </w:t>
      </w:r>
      <w:hyperlink w:anchor="sec-app-baseline-examples">
        <w:r>
          <w:rPr>
            <w:rStyle w:val="Hyperlink"/>
          </w:rPr>
          <w:t xml:space="preserve">Appendix E</w:t>
        </w:r>
      </w:hyperlink>
      <w:r>
        <w:t xml:space="preserve"> </w:t>
      </w:r>
      <w:r>
        <w:t xml:space="preserve">lists the ten most-novel candidates from each baseline pool.</w:t>
      </w:r>
    </w:p>
    <w:bookmarkStart w:id="125" w:name="fig-quadrant-scatter"/>
    <w:p>
      <w:pPr>
        <w:pStyle w:val="BodyText"/>
        <w:jc w:val="center"/>
        <w:keepNext/>
        <w:keepLines/>
        <w:widowControl w:val="1"/>
      </w:pPr>
      <w:r>
        <w:drawing>
          <wp:inline>
            <wp:extent cx="5943600" cy="4771512"/>
            <wp:effectExtent b="0" l="0" r="0" t="0"/>
            <wp:docPr descr="Productive-quadrant scatter: S vs viability for DFT-confirmed leads" title="" id="123" name="Picture"/>
            <a:graphic>
              <a:graphicData uri="http://schemas.openxmlformats.org/drawingml/2006/picture">
                <pic:pic>
                  <pic:nvPicPr>
                    <pic:cNvPr descr="figs/fig_quadrant_scatter.png" id="124" name="Picture"/>
                    <pic:cNvPicPr>
                      <a:picLocks noChangeArrowheads="1" noChangeAspect="1"/>
                    </pic:cNvPicPr>
                  </pic:nvPicPr>
                  <pic:blipFill>
                    <a:blip r:embed="rId122"/>
                    <a:stretch>
                      <a:fillRect/>
                    </a:stretch>
                  </pic:blipFill>
                  <pic:spPr bwMode="auto">
                    <a:xfrm>
                      <a:off x="0" y="0"/>
                      <a:ext cx="5943600" cy="4771512"/>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23.</w:t>
      </w:r>
      <w:r>
        <w:t xml:space="preserve"> </w:t>
      </w:r>
      <w:r>
        <w:t xml:space="preserve">Productive-quadrant scatter for the 12 DFT-confirmed leads with the four no-diffusion baselines as reference markers.</w:t>
      </w:r>
      <w:r>
        <w:t xml:space="preserve"> </w:t>
      </w:r>
      <m:oMath>
        <m:r>
          <m:t>x</m:t>
        </m:r>
      </m:oMath>
      <w:r>
        <w:t xml:space="preserve">-axis: viability probability (RF classifier, energetic vs ZINC);</w:t>
      </w:r>
      <w:r>
        <w:t xml:space="preserve"> </w:t>
      </w:r>
      <m:oMath>
        <m:r>
          <m:t>y</m:t>
        </m:r>
      </m:oMath>
      <w:r>
        <w:t xml:space="preserve">-axis: composite score</w:t>
      </w:r>
      <w:r>
        <w:t xml:space="preserve"> </w:t>
      </w:r>
      <m:oMath>
        <m:r>
          <m:t>S</m:t>
        </m:r>
      </m:oMath>
      <w:r>
        <w:t xml:space="preserve"> </w:t>
      </w:r>
      <w:r>
        <w:t xml:space="preserve">(higher = better). Dashed lines mark the top-5 thresholds (</w:t>
      </w:r>
      <m:oMath>
        <m:r>
          <m:t>S</m:t>
        </m:r>
        <m:r>
          <m:rPr>
            <m:sty m:val="p"/>
          </m:rPr>
          <m:t>=</m:t>
        </m:r>
        <m:r>
          <m:t>0.65</m:t>
        </m:r>
      </m:oMath>
      <w:r>
        <w:t xml:space="preserve">, viab</w:t>
      </w:r>
      <w:r>
        <w:t xml:space="preserve"> </w:t>
      </w:r>
      <m:oMath>
        <m:r>
          <m:rPr>
            <m:sty m:val="p"/>
          </m:rPr>
          <m:t>=</m:t>
        </m:r>
        <m:r>
          <m:t>0.83</m:t>
        </m:r>
      </m:oMath>
      <w:r>
        <w:t xml:space="preserve">); the green-tinted upper-right quadrant is the productive zone (novel + HMX-class). Marker area is proportional to drop-weight impact sensitivity</w:t>
      </w:r>
      <w:r>
        <w:t xml:space="preserve"> </w:t>
      </w:r>
      <m:oMath>
        <m:sSub>
          <m:e>
            <m:r>
              <m:t>h</m:t>
            </m:r>
          </m:e>
          <m:sub>
            <m:r>
              <m:t>50</m:t>
            </m:r>
          </m:sub>
        </m:sSub>
      </m:oMath>
      <w:r>
        <w:t xml:space="preserve"> </w:t>
      </w:r>
      <w:r>
        <w:t xml:space="preserve">(cm; larger = safer). L1 (guided Hz-C2, red) sits at the top of the productive quadrant; L2–L5 (filled blue, unguided C0) cluster near the threshold boundary; L9–L20 (hollow blue) carry real</w:t>
      </w:r>
      <w:r>
        <w:t xml:space="preserve"> </w:t>
      </w:r>
      <m:oMath>
        <m:sSub>
          <m:e>
            <m:r>
              <m:t>h</m:t>
            </m:r>
          </m:e>
          <m:sub>
            <m:r>
              <m:t>50</m:t>
            </m:r>
          </m:sub>
        </m:sSub>
      </m:oMath>
      <w:r>
        <w:t xml:space="preserve"> </w:t>
      </w:r>
      <w:r>
        <w:t xml:space="preserve">but</w:t>
      </w:r>
      <w:r>
        <w:t xml:space="preserve"> </w:t>
      </w:r>
      <m:oMath>
        <m:r>
          <m:t>S</m:t>
        </m:r>
      </m:oMath>
      <w:r>
        <w:t xml:space="preserve"> </w:t>
      </w:r>
      <w:r>
        <w:t xml:space="preserve">and viability are not tabulated and are placed along the Pareto-floor strip. Baseline markers (</w:t>
      </w:r>
      <m:oMath>
        <m:r>
          <m:t>S</m:t>
        </m:r>
      </m:oMath>
      <w:r>
        <w:t xml:space="preserve"> </w:t>
      </w:r>
      <w:r>
        <w:t xml:space="preserve">not on the DGLD composite scale; placed as reference): SMILES-LSTM (red X, memorised; Tanimoto 1.0), MolMIM 70 M (orange diamond, drug-domain;</w:t>
      </w:r>
      <w:r>
        <w:t xml:space="preserve"> </w:t>
      </w:r>
      <m:oMath>
        <m:r>
          <m:t>D</m:t>
        </m:r>
        <m:r>
          <m:rPr>
            <m:sty m:val="p"/>
          </m:rPr>
          <m:t>=</m:t>
        </m:r>
        <m:r>
          <m:t>7.70</m:t>
        </m:r>
      </m:oMath>
      <w:r>
        <w:t xml:space="preserve"> km/s), REINVENT 4 (green square, N-fraction RL; top-1</w:t>
      </w:r>
      <w:r>
        <w:t xml:space="preserve"> </w:t>
      </w:r>
      <m:oMath>
        <m:r>
          <m:t>D</m:t>
        </m:r>
        <m:r>
          <m:rPr>
            <m:sty m:val="p"/>
          </m:rPr>
          <m:t>=</m:t>
        </m:r>
        <m:r>
          <m:t>9.02</m:t>
        </m:r>
      </m:oMath>
      <w:r>
        <w:t xml:space="preserve"> km/s, novel), SELFIES-GA (purple, surrogate</w:t>
      </w:r>
      <w:r>
        <w:t xml:space="preserve"> </w:t>
      </w:r>
      <m:oMath>
        <m:r>
          <m:rPr>
            <m:sty m:val="p"/>
          </m:rPr>
          <m:t>→</m:t>
        </m:r>
      </m:oMath>
      <w:r>
        <w:t xml:space="preserve"> </w:t>
      </w:r>
      <w:r>
        <w:t xml:space="preserve">DFT collapse: top-1 falls from</w:t>
      </w:r>
      <w:r>
        <w:t xml:space="preserve"> </w:t>
      </w:r>
      <m:oMath>
        <m:r>
          <m:t>D</m:t>
        </m:r>
        <m:r>
          <m:rPr>
            <m:sty m:val="p"/>
          </m:rPr>
          <m:t>=</m:t>
        </m:r>
        <m:r>
          <m:t>9.73</m:t>
        </m:r>
      </m:oMath>
      <w:r>
        <w:t xml:space="preserve"> </w:t>
      </w:r>
      <w:r>
        <w:t xml:space="preserve">to</w:t>
      </w:r>
      <w:r>
        <w:t xml:space="preserve"> </w:t>
      </w:r>
      <m:oMath>
        <m:r>
          <m:t>6.28</m:t>
        </m:r>
      </m:oMath>
      <w:r>
        <w:t xml:space="preserve"> km/s under DFT audit). Source:</w:t>
      </w:r>
      <w:r>
        <w:t xml:space="preserve"> </w:t>
      </w:r>
      <m:oMath>
        <m:r>
          <m:t>S</m:t>
        </m:r>
      </m:oMath>
      <w:r>
        <w:t xml:space="preserve">/viab for L1–L5 from §5.2 prose;</w:t>
      </w:r>
      <w:r>
        <w:t xml:space="preserve"> </w:t>
      </w:r>
      <m:oMath>
        <m:sSub>
          <m:e>
            <m:r>
              <m:t>h</m:t>
            </m:r>
          </m:e>
          <m:sub>
            <m:r>
              <m:t>50</m:t>
            </m:r>
          </m:sub>
        </m:sSub>
      </m:oMath>
      <w:r>
        <w:t xml:space="preserve"> </w:t>
      </w:r>
      <w:r>
        <w:t xml:space="preserve">from Table C.1c; baselines from Table 8.</w:t>
      </w:r>
    </w:p>
    <w:bookmarkEnd w:id="125"/>
    <w:p>
      <w:pPr>
        <w:pStyle w:val="BodyText"/>
        <w:jc w:val="both"/>
        <w:keepNext w:val="0"/>
        <w:keepLines w:val="0"/>
        <w:widowControl w:val="1"/>
      </w:pPr>
      <w:r>
        <w:rPr>
          <w:b/>
          <w:bCs/>
        </w:rPr>
        <w:t xml:space="preserve">Note on Fig 23 score conventions.</w:t>
      </w:r>
      <w:r>
        <w:t xml:space="preserve"> </w:t>
      </w:r>
      <w:r>
        <w:t xml:space="preserve">The composite score</w:t>
      </w:r>
      <w:r>
        <w:t xml:space="preserve"> </w:t>
      </w:r>
      <m:oMath>
        <m:r>
          <m:t>S</m:t>
        </m:r>
      </m:oMath>
      <w:r>
        <w:t xml:space="preserve"> </w:t>
      </w:r>
      <w:r>
        <w:t xml:space="preserve">on the</w:t>
      </w:r>
      <w:r>
        <w:t xml:space="preserve"> </w:t>
      </w:r>
      <m:oMath>
        <m:r>
          <m:t>y</m:t>
        </m:r>
      </m:oMath>
      <w:r>
        <w:t xml:space="preserve">-axis is the higher-is-better Stage-1+2 reranker success score (range 0–1), not the lower-is-better Pareto-reranker penalty tabulated in Table 8, Fig 22, and Table F.4. Cross-figure ranking is consistent (DGLD Hz-C2 best on both) but absolute values are not comparable.</w:t>
      </w:r>
    </w:p>
    <w:p>
      <w:pPr>
        <w:pStyle w:val="BodyText"/>
        <w:jc w:val="both"/>
        <w:keepNext w:val="0"/>
        <w:keepLines w:val="0"/>
        <w:widowControl w:val="1"/>
      </w:pPr>
      <w:r>
        <w:rPr>
          <w:b/>
          <w:bCs/>
        </w:rPr>
        <w:t xml:space="preserve">Distribution-learning metrics.</w:t>
      </w:r>
      <w:r>
        <w:t xml:space="preserve"> </w:t>
      </w:r>
      <w:r>
        <w:t xml:space="preserve">SMILES-LSTM has FCD = 0.52 against a 5 000-row labelled master sample (distributionally indistinguishable because it reproduces labelled rows); DGLD has FCD = 24–26 across guidance conditions: the diffusion sampler performs a</w:t>
      </w:r>
      <w:r>
        <w:t xml:space="preserve"> </w:t>
      </w:r>
      <w:r>
        <w:rPr>
          <w:i/>
          <w:iCs/>
        </w:rPr>
        <w:t xml:space="preserve">targeted search off the prior</w:t>
      </w:r>
      <w:r>
        <w:t xml:space="preserve">, not corpus mimicry, with anti-correlation between FCD and Pareto-reranker composite within DGLD confirming the design intent. Full small-multiples (validity, scaffold uniqueness 659–1262, IntDiv1 0.818–0.838) are in Appendix D.11.</w:t>
      </w:r>
    </w:p>
    <w:bookmarkStart w:id="129" w:name="fig-moses-panels"/>
    <w:p>
      <w:pPr>
        <w:pStyle w:val="BodyText"/>
        <w:jc w:val="center"/>
        <w:keepNext/>
        <w:keepLines/>
        <w:widowControl w:val="1"/>
      </w:pPr>
      <w:r>
        <w:drawing>
          <wp:inline>
            <wp:extent cx="5943600" cy="3335845"/>
            <wp:effectExtent b="0" l="0" r="0" t="0"/>
            <wp:docPr descr="MOSES-style distribution-learning small multiples" title="" id="127" name="Picture"/>
            <a:graphic>
              <a:graphicData uri="http://schemas.openxmlformats.org/drawingml/2006/picture">
                <pic:pic>
                  <pic:nvPicPr>
                    <pic:cNvPr descr="figs/fig_moses_small_multiples.png" id="128" name="Picture"/>
                    <pic:cNvPicPr>
                      <a:picLocks noChangeArrowheads="1" noChangeAspect="1"/>
                    </pic:cNvPicPr>
                  </pic:nvPicPr>
                  <pic:blipFill>
                    <a:blip r:embed="rId126"/>
                    <a:stretch>
                      <a:fillRect/>
                    </a:stretch>
                  </pic:blipFill>
                  <pic:spPr bwMode="auto">
                    <a:xfrm>
                      <a:off x="0" y="0"/>
                      <a:ext cx="5943600" cy="3335845"/>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24.</w:t>
      </w:r>
      <w:r>
        <w:t xml:space="preserve"> </w:t>
      </w:r>
      <w:r>
        <w:t xml:space="preserve">Distribution-learning small-multiples comparing SMILES-LSTM (red) against seven DGLD conditions (blue) on validity proxy, top-100 scaffold uniqueness, internal diversity, and FCD vs the labelled master.</w:t>
      </w:r>
    </w:p>
    <w:bookmarkEnd w:id="129"/>
    <w:bookmarkEnd w:id="130"/>
    <w:bookmarkStart w:id="135" w:name="ablation-summary"/>
    <w:p>
      <w:pPr>
        <w:pStyle w:val="Heading3"/>
        <w:keepNext/>
        <w:keepLines/>
        <w:widowControl w:val="1"/>
      </w:pPr>
      <w:r>
        <w:t xml:space="preserve">5.6 Ablation summary</w:t>
      </w:r>
    </w:p>
    <w:p>
      <w:pPr>
        <w:pStyle w:val="FirstParagraph"/>
        <w:jc w:val="both"/>
        <w:keepNext w:val="0"/>
        <w:keepLines w:val="0"/>
        <w:widowControl w:val="1"/>
      </w:pPr>
      <w:r>
        <w:t xml:space="preserve">Seven ablations measure the contribution of each system component to the headline. Table 9 lists the headline result of each; full prose, sub-tables, and figures are in</w:t>
      </w:r>
      <w:r>
        <w:t xml:space="preserve"> </w:t>
      </w:r>
      <w:hyperlink w:anchor="sec-app-detailed-ablations">
        <w:r>
          <w:rPr>
            <w:rStyle w:val="Hyperlink"/>
          </w:rPr>
          <w:t xml:space="preserve">Appendix F</w:t>
        </w:r>
      </w:hyperlink>
      <w:r>
        <w:t xml:space="preserve">. The forest plot of effect sizes (Figure 25) summarises the guidance-axis ablations visually.</w:t>
      </w:r>
    </w:p>
    <w:p>
      <w:pPr>
        <w:pStyle w:val="TableCaption"/>
        <w:spacing w:before="160" w:after="60" w:line="240" w:lineRule="auto"/>
        <w:jc w:val="center"/>
        <w:keepNext/>
        <w:keepLines/>
        <w:widowControl w:val="1"/>
      </w:pPr>
      <w:r>
        <w:rPr>
          <w:b/>
          <w:bCs/>
        </w:rPr>
        <w:t xml:space="preserve">Table 9.</w:t>
      </w:r>
      <w:r>
        <w:t xml:space="preserve"> </w:t>
      </w:r>
      <w:r>
        <w:t xml:space="preserve">Ablation summary. Each row reports the single headline number from a self-contained ablation; the right column points to the appendix subsection with full prose, sub-tables, and figures.</w:t>
      </w:r>
    </w:p>
    <w:tbl>
      <w:tblPr>
        <w:tblStyle w:val="Table"/>
        <w:tblW w:type="pct" w:w="5000"/>
        <w:jc w:val="center"/>
        <w:tblLook w:firstRow="1" w:lastRow="0" w:firstColumn="0" w:lastColumn="0" w:noHBand="0" w:noVBand="0" w:val="0020"/>
        <w:tblCaption w:val="Table 9. Ablation summary. Each row reports the single headline number from a self-contained ablation; the right column points to the appendix subsection with full prose, sub-tables, and figures."/>
        <w:tblLayout w:type="autofit"/>
        <w:tblBorders>
          <w:top w:val="single" w:sz="10" w:color="4F6272"/>
          <w:bottom w:val="single" w:sz="10" w:color="4F6272"/>
          <w:insideH w:val="single" w:sz="5" w:color="9FB0C2"/>
          <w:left w:val="single" w:sz="6" w:color="9FB0C2"/>
          <w:right w:val="single" w:sz="6" w:color="9FB0C2"/>
          <w:insideV w:val="single" w:sz="5" w:color="D9E1E8"/>
        </w:tblBorders>
      </w:tblPr>
      <w:tblGrid>
        <w:gridCol w:w="1980"/>
        <w:gridCol w:w="1980"/>
        <w:gridCol w:w="1980"/>
        <w:gridCol w:w="1980"/>
      </w:tblGrid>
      <w:tr>
        <w:trPr>
          <w:tblHeader w:val="on"/>
        </w:trPr>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Ablation</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What is varied</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Headline result</w:t>
            </w:r>
          </w:p>
        </w:tc>
        <w:tc>
          <w:tcPr>
            <w:shd w:fill="EEF3F7"/>
            <w:tcBorders>
              <w:left w:val="single" w:sz="4" w:color="D9E1E8"/>
              <w:right w:val="single" w:sz="4" w:color="D9E1E8"/>
              <w:top w:val="single" w:sz="4" w:color="D9E1E8"/>
              <w:bottom w:val="single" w:sz="8" w:color="9FB0C2"/>
            </w:tcBorders>
          </w:tcPr>
          <w:p>
            <w:pPr>
              <w:pStyle w:val="Compact"/>
              <w:spacing w:before="0" w:after="20" w:line="240" w:lineRule="auto"/>
              <w:jc w:val="center"/>
              <w:keepNext w:val="0"/>
              <w:keepLines/>
              <w:widowControl w:val="1"/>
            </w:pPr>
            <w:r>
              <w:rPr>
                <w:rFonts w:ascii="Times New Roman" w:hAnsi="Times New Roman"/>
                <w:b/>
                <w:sz w:val="19"/>
              </w:rPr>
              <w:t xml:space="preserve">Detail</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Tier-gate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label-trust mask on / off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Keep-rate 4.6 % → 53.9 % when off; sampler collapses to poly-N open chains; val loss +0.089.</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F.6</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Diffusion vs Gaussian prior</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conditional latent vs</w:t>
            </w:r>
            <w:r>
              <w:rPr>
                <w:rFonts w:ascii="Times New Roman" w:hAnsi="Times New Roman"/>
                <w:sz w:val="20"/>
              </w:rPr>
              <w:t xml:space="preserve"> </w:t>
            </w:r>
            <m:oMath>
              <m:r>
                <m:rPr>
                  <m:scr m:val="script"/>
                  <m:sty m:val="p"/>
                </m:rPr>
                <m:t>N</m:t>
              </m:r>
              <m:r>
                <m:rPr>
                  <m:sty m:val="p"/>
                </m:rPr>
                <m:t>(</m:t>
              </m:r>
              <m:r>
                <m:t>0</m:t>
              </m:r>
              <m:r>
                <m:rPr>
                  <m:sty m:val="p"/>
                </m:rPr>
                <m:t>,</m:t>
              </m:r>
              <m:r>
                <m:t>I</m:t>
              </m:r>
              <m:r>
                <m:rPr>
                  <m:sty m:val="p"/>
                </m:rPr>
                <m:t>)</m:t>
              </m:r>
            </m:oMath>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Top-1</w:t>
            </w:r>
            <w:r>
              <w:rPr>
                <w:rFonts w:ascii="Times New Roman" w:hAnsi="Times New Roman"/>
                <w:sz w:val="20"/>
              </w:rPr>
              <w:t xml:space="preserve"> </w:t>
            </w:r>
            <m:oMath>
              <m:r>
                <m:t>D</m:t>
              </m:r>
              <m:r>
                <m:rPr>
                  <m:sty m:val="p"/>
                </m:rPr>
                <m:t>=</m:t>
              </m:r>
              <m:r>
                <m:t>9.47</m:t>
              </m:r>
            </m:oMath>
            <w:r>
              <w:rPr>
                <w:rFonts w:ascii="Times New Roman" w:hAnsi="Times New Roman"/>
                <w:sz w:val="20"/>
              </w:rPr>
              <w:t xml:space="preserve"> </w:t>
            </w:r>
            <w:r>
              <w:rPr>
                <w:rFonts w:ascii="Times New Roman" w:hAnsi="Times New Roman"/>
                <w:sz w:val="20"/>
              </w:rPr>
              <w:t xml:space="preserve">vs</w:t>
            </w:r>
            <w:r>
              <w:rPr>
                <w:rFonts w:ascii="Times New Roman" w:hAnsi="Times New Roman"/>
                <w:sz w:val="20"/>
              </w:rPr>
              <w:t xml:space="preserve"> </w:t>
            </w:r>
            <m:oMath>
              <m:r>
                <m:t>9.02</m:t>
              </m:r>
            </m:oMath>
            <w:r>
              <w:rPr>
                <w:rFonts w:ascii="Times New Roman" w:hAnsi="Times New Roman"/>
                <w:sz w:val="20"/>
              </w:rPr>
              <w:t xml:space="preserve"> km/s (+0.45); 4.6 % vs 48 % keep-rate reversal shows the prior concentrates on the high-</w:t>
            </w:r>
            <m:oMath>
              <m:r>
                <m:t>D</m:t>
              </m:r>
            </m:oMath>
            <w:r>
              <w:rPr>
                <w:rFonts w:ascii="Times New Roman" w:hAnsi="Times New Roman"/>
                <w:sz w:val="20"/>
              </w:rPr>
              <w:t xml:space="preserve"> </w:t>
            </w:r>
            <w:r>
              <w:rPr>
                <w:rFonts w:ascii="Times New Roman" w:hAnsi="Times New Roman"/>
                <w:sz w:val="20"/>
              </w:rPr>
              <w:t xml:space="preserve">tail.</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F.2</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Multi-head guidance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C0 / C1 / C2 / C3 head combinations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Top-1</w:t>
            </w:r>
            <w:r>
              <w:rPr>
                <w:rFonts w:ascii="Times New Roman" w:hAnsi="Times New Roman"/>
                <w:sz w:val="20"/>
              </w:rPr>
              <w:t xml:space="preserve"> </w:t>
            </w:r>
            <m:oMath>
              <m:r>
                <m:t>D</m:t>
              </m:r>
            </m:oMath>
            <w:r>
              <w:rPr>
                <w:rFonts w:ascii="Times New Roman" w:hAnsi="Times New Roman"/>
                <w:sz w:val="20"/>
              </w:rPr>
              <w:t xml:space="preserve"> </w:t>
            </w:r>
            <w:r>
              <w:rPr>
                <w:rFonts w:ascii="Times New Roman" w:hAnsi="Times New Roman"/>
                <w:sz w:val="20"/>
              </w:rPr>
              <w:t xml:space="preserve">nearly invariant (9.44–9.53 km/s); guidance reduces scaffold count from 12 to 5 (production C2 default).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F.3</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Hazard / SA axis (multi-seed)</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per-head scale grid × 3 seeds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Hz-C2 most novel (max-Tani 0.27 ± 0.03); SA-C3 worsens composite by 13 % (production</w:t>
            </w:r>
            <w:r>
              <w:rPr>
                <w:rFonts w:ascii="Times New Roman" w:hAnsi="Times New Roman"/>
                <w:sz w:val="20"/>
              </w:rPr>
              <w:t xml:space="preserve"> </w:t>
            </w:r>
            <m:oMath>
              <m:sSub>
                <m:e>
                  <m:r>
                    <m:t>s</m:t>
                  </m:r>
                </m:e>
                <m:sub>
                  <m:r>
                    <m:rPr>
                      <m:nor/>
                      <m:sty m:val="p"/>
                    </m:rPr>
                    <m:t>SA</m:t>
                  </m:r>
                </m:sub>
              </m:sSub>
              <m:r>
                <m:rPr>
                  <m:sty m:val="p"/>
                </m:rPr>
                <m:t>=</m:t>
              </m:r>
              <m:r>
                <m:t>0</m:t>
              </m:r>
            </m:oMath>
            <w:r>
              <w:rPr>
                <w:rFonts w:ascii="Times New Roman" w:hAnsi="Times New Roman"/>
                <w:sz w:val="20"/>
              </w:rPr>
              <w:t xml:space="preserve">).</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F.4</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Self-distillation budget</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137 vs 918 hard negatives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Worst-offender model-cheat (gem-tetranitro) demoted by −0.10 absolute at 918; required for steer-off.</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F.1, D.9</w:t>
            </w:r>
          </w:p>
        </w:tc>
      </w:tr>
      <w:tr>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b/>
                <w:bCs/>
                <w:sz w:val="20"/>
              </w:rPr>
              <w:t xml:space="preserve">Pool fusion</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1 lane × 40k vs 5 lanes × 100k</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Post-filter yield 966 → 4 639 (+5×); scaffolds 7 → 24; max</w:t>
            </w:r>
            <w:r>
              <w:rPr>
                <w:rFonts w:ascii="Times New Roman" w:hAnsi="Times New Roman"/>
                <w:sz w:val="20"/>
              </w:rPr>
              <w:t xml:space="preserve"> </w:t>
            </w:r>
            <m:oMath>
              <m:r>
                <m:t>D</m:t>
              </m:r>
            </m:oMath>
            <w:r>
              <w:rPr>
                <w:rFonts w:ascii="Times New Roman" w:hAnsi="Times New Roman"/>
                <w:sz w:val="20"/>
              </w:rPr>
              <w:t xml:space="preserve"> </w:t>
            </w:r>
            <w:r>
              <w:rPr>
                <w:rFonts w:ascii="Times New Roman" w:hAnsi="Times New Roman"/>
                <w:sz w:val="20"/>
              </w:rPr>
              <w:t xml:space="preserve">9.51 → 9.79 km/s.</w:t>
            </w:r>
          </w:p>
        </w:tc>
        <w:tc>
          <w:tcPr>
            <w:tcBorders>
              <w:left w:val="single" w:sz="4" w:color="D9E1E8"/>
              <w:right w:val="single" w:sz="4" w:color="D9E1E8"/>
              <w:top w:val="single" w:sz="4" w:color="D9E1E8"/>
              <w:bottom w:val="single" w:sz="4" w:color="D9E1E8"/>
            </w:tcBorders>
          </w:tcPr>
          <w:p>
            <w:pPr>
              <w:pStyle w:val="Compact"/>
              <w:spacing w:before="0" w:after="20" w:line="240" w:lineRule="auto"/>
              <w:jc w:val="center"/>
              <w:keepNext w:val="0"/>
              <w:keepLines/>
              <w:widowControl w:val="1"/>
            </w:pPr>
            <w:r>
              <w:rPr>
                <w:rFonts w:ascii="Times New Roman" w:hAnsi="Times New Roman"/>
                <w:sz w:val="20"/>
              </w:rPr>
              <w:t xml:space="preserve">F.5</w:t>
            </w:r>
          </w:p>
        </w:tc>
      </w:tr>
      <w:tr>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b/>
                <w:bCs/>
                <w:sz w:val="20"/>
              </w:rPr>
              <w:t xml:space="preserve">CFG scale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m:oMath>
              <m:r>
                <m:t>w</m:t>
              </m:r>
              <m:r>
                <m:rPr>
                  <m:sty m:val="p"/>
                </m:rPr>
                <m:t>∈</m:t>
              </m:r>
              <m:r>
                <m:rPr>
                  <m:sty m:val="p"/>
                </m:rPr>
                <m:t>{</m:t>
              </m:r>
              <m:r>
                <m:t>5</m:t>
              </m:r>
              <m:r>
                <m:rPr>
                  <m:sty m:val="p"/>
                </m:rPr>
                <m:t>,</m:t>
              </m:r>
              <m:r>
                <m:t>7</m:t>
              </m:r>
              <m:r>
                <m:rPr>
                  <m:sty m:val="p"/>
                </m:rPr>
                <m:t>,</m:t>
              </m:r>
              <m:r>
                <m:t>9</m:t>
              </m:r>
              <m:r>
                <m:rPr>
                  <m:sty m:val="p"/>
                </m:rPr>
                <m:t>}</m:t>
              </m:r>
            </m:oMath>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m:oMath>
              <m:r>
                <m:t>w</m:t>
              </m:r>
              <m:r>
                <m:rPr>
                  <m:sty m:val="p"/>
                </m:rPr>
                <m:t>=</m:t>
              </m:r>
              <m:r>
                <m:t>7</m:t>
              </m:r>
            </m:oMath>
            <w:r>
              <w:rPr>
                <w:rFonts w:ascii="Times New Roman" w:hAnsi="Times New Roman"/>
                <w:sz w:val="20"/>
              </w:rPr>
              <w:t xml:space="preserve"> </w:t>
            </w:r>
            <w:r>
              <w:rPr>
                <w:rFonts w:ascii="Times New Roman" w:hAnsi="Times New Roman"/>
                <w:sz w:val="20"/>
              </w:rPr>
              <w:t xml:space="preserve">is the empirical optimum (983 final candidates vs 528 at</w:t>
            </w:r>
            <w:r>
              <w:rPr>
                <w:rFonts w:ascii="Times New Roman" w:hAnsi="Times New Roman"/>
                <w:sz w:val="20"/>
              </w:rPr>
              <w:t xml:space="preserve"> </w:t>
            </w:r>
            <m:oMath>
              <m:r>
                <m:t>w</m:t>
              </m:r>
              <m:r>
                <m:rPr>
                  <m:sty m:val="p"/>
                </m:rPr>
                <m:t>=</m:t>
              </m:r>
              <m:r>
                <m:t>5</m:t>
              </m:r>
            </m:oMath>
            <w:r>
              <w:rPr>
                <w:rFonts w:ascii="Times New Roman" w:hAnsi="Times New Roman"/>
                <w:sz w:val="20"/>
              </w:rPr>
              <w:t xml:space="preserve">, 427 at</w:t>
            </w:r>
            <w:r>
              <w:rPr>
                <w:rFonts w:ascii="Times New Roman" w:hAnsi="Times New Roman"/>
                <w:sz w:val="20"/>
              </w:rPr>
              <w:t xml:space="preserve"> </w:t>
            </w:r>
            <m:oMath>
              <m:r>
                <m:t>w</m:t>
              </m:r>
              <m:r>
                <m:rPr>
                  <m:sty m:val="p"/>
                </m:rPr>
                <m:t>=</m:t>
              </m:r>
              <m:r>
                <m:t>9</m:t>
              </m:r>
            </m:oMath>
            <w:r>
              <w:rPr>
                <w:rFonts w:ascii="Times New Roman" w:hAnsi="Times New Roman"/>
                <w:sz w:val="20"/>
              </w:rPr>
              <w:t xml:space="preserve">).</w:t>
            </w:r>
          </w:p>
        </w:tc>
        <w:tc>
          <w:tcPr>
            <w:tcBorders>
              <w:left w:val="single" w:sz="4" w:color="D9E1E8"/>
              <w:right w:val="single" w:sz="4" w:color="D9E1E8"/>
              <w:top w:val="single" w:sz="4" w:color="D9E1E8"/>
              <w:bottom w:val="nil"/>
            </w:tcBorders>
          </w:tcPr>
          <w:p>
            <w:pPr>
              <w:pStyle w:val="Compact"/>
              <w:spacing w:before="0" w:after="20" w:line="240" w:lineRule="auto"/>
              <w:jc w:val="center"/>
              <w:keepNext w:val="0"/>
              <w:keepLines/>
              <w:widowControl w:val="1"/>
            </w:pPr>
            <w:r>
              <w:rPr>
                <w:rFonts w:ascii="Times New Roman" w:hAnsi="Times New Roman"/>
                <w:sz w:val="20"/>
              </w:rPr>
              <w:t xml:space="preserve">§4.12, D.8</w:t>
            </w:r>
          </w:p>
        </w:tc>
      </w:tr>
    </w:tbl>
    <w:bookmarkStart w:id="134" w:name="fig-forest-ablation"/>
    <w:p>
      <w:pPr>
        <w:pStyle w:val="BodyText"/>
        <w:jc w:val="center"/>
        <w:keepNext/>
        <w:keepLines/>
        <w:widowControl w:val="1"/>
      </w:pPr>
      <w:r>
        <w:drawing>
          <wp:inline>
            <wp:extent cx="5943600" cy="2621267"/>
            <wp:effectExtent b="0" l="0" r="0" t="0"/>
            <wp:docPr descr="Forest plot of guidance ablation effect sizes vs unguided baseline" title="" id="132" name="Picture"/>
            <a:graphic>
              <a:graphicData uri="http://schemas.openxmlformats.org/drawingml/2006/picture">
                <pic:pic>
                  <pic:nvPicPr>
                    <pic:cNvPr descr="figs/fig_forest_ablation.png" id="133" name="Picture"/>
                    <pic:cNvPicPr>
                      <a:picLocks noChangeArrowheads="1" noChangeAspect="1"/>
                    </pic:cNvPicPr>
                  </pic:nvPicPr>
                  <pic:blipFill>
                    <a:blip r:embed="rId131"/>
                    <a:stretch>
                      <a:fillRect/>
                    </a:stretch>
                  </pic:blipFill>
                  <pic:spPr bwMode="auto">
                    <a:xfrm>
                      <a:off x="0" y="0"/>
                      <a:ext cx="5943600" cy="2621267"/>
                    </a:xfrm>
                    <a:prstGeom prst="rect">
                      <a:avLst/>
                    </a:prstGeom>
                    <a:noFill/>
                    <a:ln w="9525">
                      <a:noFill/>
                      <a:headEnd/>
                      <a:tailEnd/>
                    </a:ln>
                  </pic:spPr>
                </pic:pic>
              </a:graphicData>
            </a:graphic>
          </wp:inline>
        </w:drawing>
      </w:r>
    </w:p>
    <w:p>
      <w:pPr>
        <w:pStyle w:val="ImageCaption"/>
        <w:spacing w:before="80" w:after="120" w:line="240" w:lineRule="auto"/>
        <w:jc w:val="center"/>
        <w:keepNext w:val="0"/>
        <w:keepLines/>
        <w:widowControl w:val="1"/>
      </w:pPr>
      <w:r>
        <w:rPr>
          <w:b/>
          <w:bCs/>
        </w:rPr>
        <w:t xml:space="preserve">Figure 25.</w:t>
      </w:r>
      <w:r>
        <w:t xml:space="preserve"> </w:t>
      </w:r>
      <w:r>
        <w:t xml:space="preserve">Guidance-ablation forest plot. Each panel shows the effect size (delta vs unguided Hz-C0 = SA-C0 baseline) for one metric across the six guided conditions. Error bars are propagated standard errors. Composite and max-Tanimoto: negative delta is improvement;</w:t>
      </w:r>
      <w:r>
        <w:t xml:space="preserve"> </w:t>
      </w:r>
      <m:oMath>
        <m:r>
          <m:t>D</m:t>
        </m:r>
      </m:oMath>
      <w:r>
        <w:t xml:space="preserve"> </w:t>
      </w:r>
      <w:r>
        <w:t xml:space="preserve">and</w:t>
      </w:r>
      <w:r>
        <w:t xml:space="preserve"> </w:t>
      </w:r>
      <m:oMath>
        <m:r>
          <m:t>P</m:t>
        </m:r>
      </m:oMath>
      <w:r>
        <w:t xml:space="preserve">: positive delta is improvement. Hz-C2 is the best joint novelty condition; SA-axis conditions consistently trade novelty for composite improvement (production sets</w:t>
      </w:r>
      <w:r>
        <w:t xml:space="preserve"> </w:t>
      </w:r>
      <m:oMath>
        <m:sSub>
          <m:e>
            <m:r>
              <m:t>s</m:t>
            </m:r>
          </m:e>
          <m:sub>
            <m:r>
              <m:rPr>
                <m:nor/>
                <m:sty m:val="p"/>
              </m:rPr>
              <m:t>SA</m:t>
            </m:r>
          </m:sub>
        </m:sSub>
        <m:r>
          <m:rPr>
            <m:sty m:val="p"/>
          </m:rPr>
          <m:t>=</m:t>
        </m:r>
        <m:r>
          <m:t>0</m:t>
        </m:r>
      </m:oMath>
      <w:r>
        <w:t xml:space="preserve">).</w:t>
      </w:r>
    </w:p>
    <w:bookmarkEnd w:id="134"/>
    <w:p>
      <w:pPr>
        <w:pStyle w:val="BodyText"/>
        <w:jc w:val="both"/>
        <w:keepNext w:val="0"/>
        <w:keepLines w:val="0"/>
        <w:widowControl w:val="1"/>
      </w:pPr>
      <w:r>
        <w:rPr>
          <w:b/>
          <w:bCs/>
        </w:rPr>
        <w:t xml:space="preserve">What each component contributes.</w:t>
      </w:r>
      <w:r>
        <w:t xml:space="preserve"> </w:t>
      </w:r>
      <w:r>
        <w:t xml:space="preserve">The tier-gate is the single largest contributor: removing it collapses the sampler to high-N degenerate open chains (53.9 % keep-rate, no ring chemistry) rather than the ring-bearing high-density manifold the production model occupies. The diffusion prior contributes a +0.45 km/s</w:t>
      </w:r>
      <w:r>
        <w:t xml:space="preserve"> </w:t>
      </w:r>
      <m:oMath>
        <m:r>
          <m:t>D</m:t>
        </m:r>
      </m:oMath>
      <w:r>
        <w:t xml:space="preserve">-lift over a compute-matched Gaussian-latent control, whose 48 % vs 4.6 % keep-rate reversal confirms that the diffusion prior's role is not chemical-plausibility filtering (a Gaussian decode through frozen LIMO does that easily) but distribution concentration on the high-</w:t>
      </w:r>
      <m:oMath>
        <m:r>
          <m:t>D</m:t>
        </m:r>
      </m:oMath>
      <w:r>
        <w:t xml:space="preserve"> </w:t>
      </w:r>
      <w:r>
        <w:t xml:space="preserve">tail. Multi-head guidance trades scaffold diversity for novelty: hazard-axis C2 reaches max-Tanimoto 0.27 (the most novel condition) at the cost of scaffold count 5 vs 12. Pool fusion across 5 lanes lifts post-filter yield nearly five-fold (4 639 vs 966 candidates, +5</w:t>
      </w:r>
      <m:oMath>
        <m:r>
          <m:rPr>
            <m:sty m:val="p"/>
          </m:rPr>
          <m:t>×</m:t>
        </m:r>
      </m:oMath>
      <w:r>
        <w:t xml:space="preserve">) without lifting top-1, surfacing 24 Bemis–Murcko scaffolds vs 7.</w:t>
      </w:r>
    </w:p>
    <w:p>
      <w:pPr>
        <w:pStyle w:val="BodyText"/>
        <w:jc w:val="both"/>
        <w:keepNext w:val="0"/>
        <w:keepLines w:val="0"/>
        <w:widowControl w:val="1"/>
      </w:pPr>
      <w:r>
        <w:rPr>
          <w:b/>
          <w:bCs/>
        </w:rPr>
        <w:t xml:space="preserve">Seed-variance context for the headline.</w:t>
      </w:r>
      <w:r>
        <w:t xml:space="preserve"> </w:t>
      </w:r>
      <w:r>
        <w:t xml:space="preserve">Per-condition seed variance (3-seed s.d. on top-1 composite, range 0.106–0.184) is comparable to the across-condition mean differences, so the production C2 default is justified by the most-novel result rather than a sharp performance lift; the qualitative ablation conclusions are robust to seed across all six guidance axes (Table F.4, full multi-seed table). The 6-seed unguided baseline gives the tightest mean (top-1 composite 0.451 ± 0.126); the SA-axis SA-C3 (viab+sens+SA) is the worst at 0.698 ± 0.015.</w:t>
      </w:r>
    </w:p>
    <w:p>
      <w:pPr>
        <w:pStyle w:val="BodyText"/>
        <w:jc w:val="both"/>
        <w:keepNext w:val="0"/>
        <w:keepLines w:val="0"/>
        <w:widowControl w:val="1"/>
      </w:pPr>
      <w:r>
        <w:rPr>
          <w:b/>
          <w:bCs/>
        </w:rPr>
        <w:t xml:space="preserve">What is ruled out.</w:t>
      </w:r>
      <w:r>
        <w:t xml:space="preserve"> </w:t>
      </w:r>
      <w:r>
        <w:t xml:space="preserve">A drug-domain SA-gradient head (RDKit SAScorer, calibrated on Reaxys/pharma reaction corpora) worsens the composite by 13 % in our energetic-materials regime; production therefore uses</w:t>
      </w:r>
      <w:r>
        <w:t xml:space="preserve"> </w:t>
      </w:r>
      <m:oMath>
        <m:sSub>
          <m:e>
            <m:r>
              <m:t>s</m:t>
            </m:r>
          </m:e>
          <m:sub>
            <m:r>
              <m:rPr>
                <m:nor/>
                <m:sty m:val="p"/>
              </m:rPr>
              <m:t>SA</m:t>
            </m:r>
          </m:sub>
        </m:sSub>
        <m:r>
          <m:rPr>
            <m:sty m:val="p"/>
          </m:rPr>
          <m:t>=</m:t>
        </m:r>
        <m:r>
          <m:t>0</m:t>
        </m:r>
      </m:oMath>
      <w:r>
        <w:t xml:space="preserve">. The SC head is retained as an architectural slot for backward compatibility but is not plumbed into the sample-time gradient sum. Both heads add</w:t>
      </w:r>
      <w:r>
        <w:t xml:space="preserve"> </w:t>
      </w:r>
      <m:oMath>
        <m:r>
          <m:rPr>
            <m:sty m:val="p"/>
          </m:rPr>
          <m:t>∼</m:t>
        </m:r>
      </m:oMath>
      <w:r>
        <w:t xml:space="preserve">2 × 256k parameters of trunk-regularisation supervision during training (Appendix B.4 contains the full SA / SC drug-domain transfer-head story).</w:t>
      </w:r>
    </w:p>
    <w:bookmarkEnd w:id="135"/>
    <w:bookmarkEnd w:id="136"/>
    <w:bookmarkStart w:id="137" w:name="sec-disc"/>
    <w:p>
      <w:pPr>
        <w:pStyle w:val="Heading2"/>
        <w:keepNext/>
        <w:keepLines/>
        <w:widowControl w:val="1"/>
      </w:pPr>
      <w:r>
        <w:t xml:space="preserve">6. Limitations</w:t>
      </w:r>
    </w:p>
    <w:p>
      <w:pPr>
        <w:pStyle w:val="FirstParagraph"/>
        <w:jc w:val="both"/>
        <w:keepNext w:val="0"/>
        <w:keepLines w:val="0"/>
        <w:widowControl w:val="1"/>
      </w:pPr>
      <w:r>
        <w:rPr>
          <w:b/>
          <w:bCs/>
        </w:rPr>
        <w:t xml:space="preserve">Crystal packing is the dominant unquantified error source.</w:t>
      </w:r>
      <w:r>
        <w:t xml:space="preserve"> </w:t>
      </w:r>
      <w:r>
        <w:t xml:space="preserve">All densities are estimated from gas-phase DFT geometry using Bondi van-der-Waals volumes with a fixed packing factor of 0.69. This factor varies from approximately 0.65 (loosely packing aromatics) to 0.72 (cubane-class compounds), with literature reports up to 0.78 for the densest CHNO crystals (§C.3); a ±5% packing-factor error alone propagates to ±0.10 g/cm</w:t>
      </w:r>
      <w:r>
        <w:rPr>
          <w:vertAlign w:val="superscript"/>
        </w:rPr>
        <w:t xml:space="preserve">3</w:t>
      </w:r>
      <w:r>
        <w:t xml:space="preserve"> </w:t>
      </w:r>
      <w:r>
        <w:t xml:space="preserve">in density, which at the K-J sensitivity of</w:t>
      </w:r>
      <w:r>
        <w:t xml:space="preserve"> </w:t>
      </w:r>
      <m:oMath>
        <m:r>
          <m:rPr>
            <m:sty m:val="p"/>
          </m:rPr>
          <m:t>∂</m:t>
        </m:r>
        <m:r>
          <m:t>D</m:t>
        </m:r>
        <m:r>
          <m:rPr>
            <m:sty m:val="p"/>
          </m:rPr>
          <m:t>/</m:t>
        </m:r>
        <m:r>
          <m:rPr>
            <m:sty m:val="p"/>
          </m:rPr>
          <m:t>∂</m:t>
        </m:r>
        <m:r>
          <m:t>ρ</m:t>
        </m:r>
        <m:r>
          <m:rPr>
            <m:sty m:val="p"/>
          </m:rPr>
          <m:t>≈</m:t>
        </m:r>
        <m:r>
          <m:t>2.9</m:t>
        </m:r>
      </m:oMath>
      <w:r>
        <w:t xml:space="preserve"> km/s per g/cm</w:t>
      </w:r>
      <w:r>
        <w:rPr>
          <w:vertAlign w:val="superscript"/>
        </w:rPr>
        <w:t xml:space="preserve">3</w:t>
      </w:r>
      <w:r>
        <w:t xml:space="preserve"> </w:t>
      </w:r>
      <w:r>
        <w:t xml:space="preserve">(Table 3) yields ±0.4 km/s in</w:t>
      </w:r>
      <w:r>
        <w:t xml:space="preserve"> </w:t>
      </w:r>
      <m:oMath>
        <m:r>
          <m:t>D</m:t>
        </m:r>
      </m:oMath>
      <w:r>
        <w:t xml:space="preserve">, roughly twice the 6-anchor calibration uncertainty of ±0.23 km/s. Note that this propagation applies to the</w:t>
      </w:r>
      <w:r>
        <w:t xml:space="preserve"> </w:t>
      </w:r>
      <w:r>
        <w:rPr>
          <w:i/>
          <w:iCs/>
        </w:rPr>
        <w:t xml:space="preserve">uncalibrated</w:t>
      </w:r>
      <w:r>
        <w:t xml:space="preserve"> </w:t>
      </w:r>
      <w:r>
        <w:t xml:space="preserve">Bondi-vdW estimate; the 6-anchor empirical calibration absorbs most of the systematic packing-factor error and brings the residual to ±0.078 g/cm</w:t>
      </w:r>
      <w:r>
        <w:rPr>
          <w:vertAlign w:val="superscript"/>
        </w:rPr>
        <w:t xml:space="preserve">3</w:t>
      </w:r>
      <w:r>
        <w:t xml:space="preserve"> </w:t>
      </w:r>
      <w:r>
        <w:t xml:space="preserve">(§C.4). Polymorph screening is absent; high-nitrogen heterocycles frequently exhibit multiple crystal forms with different densities and sensitivity profiles (cf.</w:t>
      </w:r>
      <w:r>
        <w:t xml:space="preserve"> </w:t>
      </w:r>
      <m:oMath>
        <m:r>
          <m:t>ε</m:t>
        </m:r>
      </m:oMath>
      <w:r>
        <w:t xml:space="preserve">- vs other CL-20 polymorphs). Crystal structure prediction or experimental single-crystal X-ray diffraction is the critical missing step before any density-based performance claim can be considered quantitative. Crystal structure prediction is the natural follow-up validation; recent benchmarks of CSP on energetic molecular crystals (</w:t>
      </w:r>
      <w:hyperlink w:anchor="ref-csp-cgd-2023">
        <w:r>
          <w:rPr>
            <w:rStyle w:val="Hyperlink"/>
          </w:rPr>
          <w:t xml:space="preserve">Crystal Growth &amp; Design 2023, DOI:10.1021/acs.cgd.3c00706</w:t>
        </w:r>
      </w:hyperlink>
      <w:r>
        <w:t xml:space="preserve">) demonstrate that polymorph screening is feasible at this candidate-list scale.</w:t>
      </w:r>
    </w:p>
    <w:p>
      <w:pPr>
        <w:pStyle w:val="BodyText"/>
        <w:jc w:val="both"/>
        <w:keepNext w:val="0"/>
        <w:keepLines w:val="0"/>
        <w:widowControl w:val="1"/>
      </w:pPr>
      <w:r>
        <w:rPr>
          <w:b/>
          <w:bCs/>
        </w:rPr>
        <w:t xml:space="preserve">Independent cross-checks on L1 and E1.</w:t>
      </w:r>
      <w:r>
        <w:t xml:space="preserve"> </w:t>
      </w:r>
      <w:r>
        <w:t xml:space="preserve">Two independent semi-empirical cross-checks confirm conservative bounds. A Bondi-vdW packing-factor bracket on L1 and E1 (Appendix C.9) yields</w:t>
      </w:r>
      <w:r>
        <w:t xml:space="preserve"> </w:t>
      </w:r>
      <m:oMath>
        <m:r>
          <m:t>ρ</m:t>
        </m:r>
        <m:r>
          <m:rPr>
            <m:sty m:val="p"/>
          </m:rPr>
          <m:t>∈</m:t>
        </m:r>
        <m:r>
          <m:rPr>
            <m:sty m:val="p"/>
          </m:rPr>
          <m:t>[</m:t>
        </m:r>
        <m:r>
          <m:t>1.69</m:t>
        </m:r>
        <m:r>
          <m:rPr>
            <m:sty m:val="p"/>
          </m:rPr>
          <m:t>,</m:t>
        </m:r>
        <m:r>
          <m:t>1.87</m:t>
        </m:r>
        <m:r>
          <m:rPr>
            <m:sty m:val="p"/>
          </m:rPr>
          <m:t>]</m:t>
        </m:r>
      </m:oMath>
      <w:r>
        <w:t xml:space="preserve"> g/cm</w:t>
      </w:r>
      <w:r>
        <w:rPr>
          <w:vertAlign w:val="superscript"/>
        </w:rPr>
        <w:t xml:space="preserve">3</w:t>
      </w:r>
      <w:r>
        <w:t xml:space="preserve"> </w:t>
      </w:r>
      <w:r>
        <w:t xml:space="preserve">for L1 and</w:t>
      </w:r>
      <w:r>
        <w:t xml:space="preserve"> </w:t>
      </w:r>
      <m:oMath>
        <m:r>
          <m:rPr>
            <m:sty m:val="p"/>
          </m:rPr>
          <m:t>[</m:t>
        </m:r>
        <m:r>
          <m:t>1.65</m:t>
        </m:r>
        <m:r>
          <m:rPr>
            <m:sty m:val="p"/>
          </m:rPr>
          <m:t>,</m:t>
        </m:r>
        <m:r>
          <m:t>1.83</m:t>
        </m:r>
        <m:r>
          <m:rPr>
            <m:sty m:val="p"/>
          </m:rPr>
          <m:t>]</m:t>
        </m:r>
      </m:oMath>
      <w:r>
        <w:t xml:space="preserve"> g/cm</w:t>
      </w:r>
      <w:r>
        <w:rPr>
          <w:vertAlign w:val="superscript"/>
        </w:rPr>
        <w:t xml:space="preserve">3</w:t>
      </w:r>
      <w:r>
        <w:t xml:space="preserve"> </w:t>
      </w:r>
      <w:r>
        <w:t xml:space="preserve">for E1, both below the 6-anchor-calibrated values (2.09 and 2.04); the 14% offset reproduces the calibration slope and confirms the pure Bondi-vdW estimator is conservative. A coordinate-preserving GFN2-xTB BDE scan (Appendix C.10) places the weakest-bond cleavage of L1 at 86 kcal/mol and E1 at 93 kcal/mol, both on C–NO</w:t>
      </w:r>
      <w:r>
        <w:rPr>
          <w:vertAlign w:val="subscript"/>
        </w:rPr>
        <w:t xml:space="preserve">2</w:t>
      </w:r>
      <w:r>
        <w:t xml:space="preserve"> </w:t>
      </w:r>
      <w:r>
        <w:t xml:space="preserve">nitro-loss channels with no sub-80 kcal/mol channel that would predict primary-explosive sensitivity.</w:t>
      </w:r>
    </w:p>
    <w:p>
      <w:pPr>
        <w:pStyle w:val="BodyText"/>
        <w:jc w:val="both"/>
        <w:keepNext w:val="0"/>
        <w:keepLines w:val="0"/>
        <w:widowControl w:val="1"/>
      </w:pPr>
      <w:r>
        <w:t xml:space="preserve">The 3D-CNN surrogate is well-calibrated on the labelled distribution but extrapolates onto the high-density tail with unquantified reliability; the top leads should be treated as candidates for DFT and experimental validation, not as final answers. SA and SCScore are heuristic synthesisability bounds. Absolute</w:t>
      </w:r>
      <w:r>
        <w:t xml:space="preserve"> </w:t>
      </w:r>
      <m:oMath>
        <m:r>
          <m:t>D</m:t>
        </m:r>
      </m:oMath>
      <w:r>
        <w:t xml:space="preserve"> </w:t>
      </w:r>
      <w:r>
        <w:t xml:space="preserve">values are reported under the closed-form Kamlet–Jacobs approximation; absolute-value-grade numbers require a thermochemical-equilibrium CJ code with a covolume EOS (EXPLO5, Cheetah-2, or the open-source Cantera-based Shock and Detonation Toolbox), which we do not run in this work. The six DFT anchor compounds contain no oxatriazole-class member; E1's</w:t>
      </w:r>
      <w:r>
        <w:t xml:space="preserve"> </w:t>
      </w:r>
      <m:oMath>
        <m:sSub>
          <m:e>
            <m:r>
              <m:t>D</m:t>
            </m:r>
          </m:e>
          <m:sub>
            <m:r>
              <m:rPr>
                <m:nor/>
                <m:sty m:val="p"/>
              </m:rPr>
              <m:t>K-J,cal</m:t>
            </m:r>
          </m:sub>
        </m:sSub>
        <m:r>
          <m:rPr>
            <m:sty m:val="p"/>
          </m:rPr>
          <m:t>=</m:t>
        </m:r>
        <m:r>
          <m:t>9.00</m:t>
        </m:r>
      </m:oMath>
      <w:r>
        <w:t xml:space="preserve"> km/s is therefore an extrapolation outside the anchor chemical space. A 7th-anchor extension attempt with DNTF (Appendix C.11) failed and the 6-anchor calibration is retained; an oxatriazole-class anchor with experimental crystal density and detonation data remains scoped as future work before E1 reaches L1 confidence. L1's</w:t>
      </w:r>
      <w:r>
        <w:t xml:space="preserve"> </w:t>
      </w:r>
      <m:oMath>
        <m:sSub>
          <m:e>
            <m:r>
              <m:t>ρ</m:t>
            </m:r>
          </m:e>
          <m:sub>
            <m:r>
              <m:rPr>
                <m:nor/>
                <m:sty m:val="p"/>
              </m:rPr>
              <m:t>cal</m:t>
            </m:r>
          </m:sub>
        </m:sSub>
        <m:r>
          <m:rPr>
            <m:sty m:val="p"/>
          </m:rPr>
          <m:t>=</m:t>
        </m:r>
        <m:r>
          <m:t>2.09</m:t>
        </m:r>
      </m:oMath>
      <w:r>
        <w:t xml:space="preserve"> g/cm</w:t>
      </w:r>
      <w:r>
        <w:rPr>
          <w:vertAlign w:val="superscript"/>
        </w:rPr>
        <w:t xml:space="preserve">3</w:t>
      </w:r>
      <w:r>
        <w:t xml:space="preserve"> </w:t>
      </w:r>
      <w:r>
        <w:t xml:space="preserve">also involves nitroisoxazole chemotype extrapolation: a packing factor of 0.65 (lower-end aromatic, vs 0.69 used) would give</w:t>
      </w:r>
      <w:r>
        <w:t xml:space="preserve"> </w:t>
      </w:r>
      <m:oMath>
        <m:r>
          <m:t>ρ</m:t>
        </m:r>
        <m:r>
          <m:rPr>
            <m:sty m:val="p"/>
          </m:rPr>
          <m:t>≈</m:t>
        </m:r>
        <m:r>
          <m:t>1.97</m:t>
        </m:r>
      </m:oMath>
      <w:r>
        <w:t xml:space="preserve">, shifting</w:t>
      </w:r>
      <w:r>
        <w:t xml:space="preserve"> </w:t>
      </w:r>
      <m:oMath>
        <m:sSub>
          <m:e>
            <m:r>
              <m:t>D</m:t>
            </m:r>
          </m:e>
          <m:sub>
            <m:r>
              <m:rPr>
                <m:nor/>
                <m:sty m:val="p"/>
              </m:rPr>
              <m:t>K-J</m:t>
            </m:r>
          </m:sub>
        </m:sSub>
      </m:oMath>
      <w:r>
        <w:t xml:space="preserve"> </w:t>
      </w:r>
      <w:r>
        <w:t xml:space="preserve">by roughly</w:t>
      </w:r>
      <w:r>
        <w:t xml:space="preserve"> </w:t>
      </w:r>
      <m:oMath>
        <m:r>
          <m:rPr>
            <m:sty m:val="p"/>
          </m:rPr>
          <m:t>±</m:t>
        </m:r>
        <m:r>
          <m:t>0.3</m:t>
        </m:r>
      </m:oMath>
      <w:r>
        <w:t xml:space="preserve"> km/s.</w:t>
      </w:r>
    </w:p>
    <w:p>
      <w:pPr>
        <w:pStyle w:val="BodyText"/>
        <w:jc w:val="both"/>
        <w:keepNext w:val="0"/>
        <w:keepLines w:val="0"/>
        <w:widowControl w:val="1"/>
      </w:pPr>
      <w:r>
        <w:t xml:space="preserve">The 1.5–2 km/s Kamlet–Jacobs vs 3D-CNN residual reported in §5.3 is consistent with the typical disagreement between Kamlet–Jacobs and full Chapman–Jouguet thermochemical-equilibrium codes (EXPLO5, Suceská et al.; Cheetah-2, Fried–Howard) on high-N CHNO compounds: published benchmarks place this disagreement in the 0.3–1.5 km/s band for typical organic explosives and at the higher end (1–2 km/s) for compounds with N-fraction</w:t>
      </w:r>
      <w:r>
        <w:t xml:space="preserve"> </w:t>
      </w:r>
      <m:oMath>
        <m:r>
          <m:rPr>
            <m:sty m:val="p"/>
          </m:rPr>
          <m:t>≳</m:t>
        </m:r>
        <m:r>
          <m:t>0.4</m:t>
        </m:r>
      </m:oMath>
      <w:r>
        <w:t xml:space="preserve">, where the K-J fixed-product-distribution assumption breaks down. The population-level §5.3 evidence (Pearson</w:t>
      </w:r>
      <w:r>
        <w:t xml:space="preserve"> </w:t>
      </w:r>
      <m:oMath>
        <m:r>
          <m:t>r</m:t>
        </m:r>
        <m:r>
          <m:rPr>
            <m:sty m:val="p"/>
          </m:rPr>
          <m:t>(</m:t>
        </m:r>
        <m:sSub>
          <m:e>
            <m:r>
              <m:t>f</m:t>
            </m:r>
          </m:e>
          <m:sub>
            <m:r>
              <m:t>N</m:t>
            </m:r>
          </m:sub>
        </m:sSub>
        <m:r>
          <m:rPr>
            <m:sty m:val="p"/>
          </m:rPr>
          <m:t>,</m:t>
        </m:r>
        <m:r>
          <m:rPr>
            <m:nor/>
            <m:sty m:val="p"/>
          </m:rPr>
          <m:t>residual</m:t>
        </m:r>
        <m:r>
          <m:rPr>
            <m:sty m:val="p"/>
          </m:rPr>
          <m:t>)</m:t>
        </m:r>
        <m:r>
          <m:rPr>
            <m:sty m:val="p"/>
          </m:rPr>
          <m:t>=</m:t>
        </m:r>
        <m:r>
          <m:rPr>
            <m:sty m:val="p"/>
          </m:rPr>
          <m:t>+</m:t>
        </m:r>
        <m:r>
          <m:t>0.43</m:t>
        </m:r>
      </m:oMath>
      <w:r>
        <w:t xml:space="preserve">, \(p&lt;10^{-26}\)) is itself a regime-aware reproduction of the same effect on 575 Tier-A experimental rows. Definitive absolute-</w:t>
      </w:r>
      <m:oMath>
        <m:r>
          <m:t>D</m:t>
        </m:r>
      </m:oMath>
      <w:r>
        <w:t xml:space="preserve"> </w:t>
      </w:r>
      <w:r>
        <w:t xml:space="preserve">numbers for the top lead therefore require either a thermochemical-equilibrium CJ recompute (EXPLO5, Cheetah-2, or the open-source Cantera SDT) on the calibrated DFT inputs, or experimental synthesis; the 3D-CNN</w:t>
      </w:r>
      <w:r>
        <w:t xml:space="preserve"> </w:t>
      </w:r>
      <m:oMath>
        <m:r>
          <m:t>D</m:t>
        </m:r>
      </m:oMath>
      <w:r>
        <w:t xml:space="preserve"> </w:t>
      </w:r>
      <w:r>
        <w:t xml:space="preserve">should be read as relative-ranking-grade, not absolute-value-grade.</w:t>
      </w:r>
    </w:p>
    <w:p>
      <w:pPr>
        <w:pStyle w:val="BodyText"/>
        <w:jc w:val="both"/>
        <w:keepNext w:val="0"/>
        <w:keepLines w:val="0"/>
        <w:widowControl w:val="1"/>
      </w:pPr>
      <w:r>
        <w:rPr>
          <w:b/>
          <w:bCs/>
        </w:rPr>
        <w:t xml:space="preserve">Retrosynthetic accessibility under public USPTO templates is a known weakness for energetic-materials chemistry.</w:t>
      </w:r>
      <w:r>
        <w:t xml:space="preserve"> </w:t>
      </w:r>
      <w:r>
        <w:t xml:space="preserve">AiZynthFinder finds a 4-step productive route only for L1 of the 12 DFT-confirmed leads. The 11 negative results reflect the drug-domain bias of the public template database (Reaxys-/USPTO-derived), not unsynthesisability of the candidates; energetic-domain templates (nitration, N</w:t>
      </w:r>
      <w:r>
        <w:rPr>
          <w:vertAlign w:val="subscript"/>
        </w:rPr>
        <w:t xml:space="preserve">2</w:t>
      </w:r>
      <w:r>
        <w:t xml:space="preserve">O</w:t>
      </w:r>
      <w:r>
        <w:rPr>
          <w:vertAlign w:val="subscript"/>
        </w:rPr>
        <w:t xml:space="preserve">5</w:t>
      </w:r>
      <w:r>
        <w:t xml:space="preserve"> </w:t>
      </w:r>
      <w:r>
        <w:t xml:space="preserve">nitrolysis, ring-cyclisation) would be required for an informative retro-screen.</w:t>
      </w:r>
    </w:p>
    <w:p>
      <w:pPr>
        <w:pStyle w:val="BodyText"/>
        <w:jc w:val="both"/>
        <w:keepNext w:val="0"/>
        <w:keepLines w:val="0"/>
        <w:widowControl w:val="1"/>
      </w:pPr>
      <w:r>
        <w:t xml:space="preserve">The statistical scope of the headline numbers is bounded as follows. §F.4 reports a 4-condition × 3-seed head-to-head at pool=10k with a no-diffusion SMILES-LSTM baseline, and §F.3 reports the single-seed pool=40k head-to-head used for the merged top-100; tables elsewhere use a single sampling seed. 89/100 of the merged top-100 come from a single unguided pool reranked by the Pareto-reranker scaffold composite, so the headline novelty/stability numbers reflect this single sampling stream, with the multi-seed §F.4 matrix as the variance estimate. Each denoiser was originally one</w:t>
      </w:r>
      <w:r>
        <w:t xml:space="preserve"> </w:t>
      </w:r>
      <m:oMath>
        <m:r>
          <m:rPr>
            <m:sty m:val="p"/>
          </m:rPr>
          <m:t>∼</m:t>
        </m:r>
      </m:oMath>
      <w:r>
        <w:t xml:space="preserve">6 hr training run; we have since retrained the v4b production architecture at two additional seeds and resampled the production C2 condition (Hz-C2 viab+sens+hazard, pool = 10k per seed). Across the resulting 3 denoiser seeds, top-1</w:t>
      </w:r>
      <w:r>
        <w:t xml:space="preserve"> </w:t>
      </w:r>
      <m:oMath>
        <m:r>
          <m:t>D</m:t>
        </m:r>
      </m:oMath>
      <w:r>
        <w:t xml:space="preserve"> </w:t>
      </w:r>
      <w:r>
        <w:t xml:space="preserve">= 9.38</w:t>
      </w:r>
      <w:r>
        <w:t xml:space="preserve"> </w:t>
      </w:r>
      <m:oMath>
        <m:r>
          <m:rPr>
            <m:sty m:val="p"/>
          </m:rPr>
          <m:t>±</m:t>
        </m:r>
      </m:oMath>
      <w:r>
        <w:t xml:space="preserve"> </w:t>
      </w:r>
      <w:r>
        <w:t xml:space="preserve">0.01 km/s (relative s.d. 0.1%), top-1</w:t>
      </w:r>
      <w:r>
        <w:t xml:space="preserve"> </w:t>
      </w:r>
      <m:oMath>
        <m:r>
          <m:t>ρ</m:t>
        </m:r>
      </m:oMath>
      <w:r>
        <w:t xml:space="preserve"> </w:t>
      </w:r>
      <w:r>
        <w:t xml:space="preserve">= 1.92</w:t>
      </w:r>
      <w:r>
        <w:t xml:space="preserve"> </w:t>
      </w:r>
      <m:oMath>
        <m:r>
          <m:rPr>
            <m:sty m:val="p"/>
          </m:rPr>
          <m:t>±</m:t>
        </m:r>
      </m:oMath>
      <w:r>
        <w:t xml:space="preserve"> </w:t>
      </w:r>
      <w:r>
        <w:t xml:space="preserve">0.01 g/cm</w:t>
      </w:r>
      <w:r>
        <w:rPr>
          <w:vertAlign w:val="superscript"/>
        </w:rPr>
        <w:t xml:space="preserve">3</w:t>
      </w:r>
      <w:r>
        <w:t xml:space="preserve">, top-1</w:t>
      </w:r>
      <w:r>
        <w:t xml:space="preserve"> </w:t>
      </w:r>
      <m:oMath>
        <m:r>
          <m:t>P</m:t>
        </m:r>
      </m:oMath>
      <w:r>
        <w:t xml:space="preserve"> </w:t>
      </w:r>
      <w:r>
        <w:t xml:space="preserve">= 38.8</w:t>
      </w:r>
      <w:r>
        <w:t xml:space="preserve"> </w:t>
      </w:r>
      <m:oMath>
        <m:r>
          <m:rPr>
            <m:sty m:val="p"/>
          </m:rPr>
          <m:t>±</m:t>
        </m:r>
      </m:oMath>
      <w:r>
        <w:t xml:space="preserve"> </w:t>
      </w:r>
      <w:r>
        <w:t xml:space="preserve">0.07 GPa. The denoiser-init seed variance is far smaller than the across-condition C0</w:t>
      </w:r>
      <w:r>
        <w:t xml:space="preserve"> </w:t>
      </w:r>
      <m:oMath>
        <m:r>
          <m:rPr>
            <m:sty m:val="p"/>
          </m:rPr>
          <m:t>→</m:t>
        </m:r>
      </m:oMath>
      <w:r>
        <w:t xml:space="preserve"> </w:t>
      </w:r>
      <w:r>
        <w:t xml:space="preserve">C2 spread (</w:t>
      </w:r>
      <m:oMath>
        <m:r>
          <m:rPr>
            <m:sty m:val="p"/>
          </m:rPr>
          <m:t>∼</m:t>
        </m:r>
      </m:oMath>
      <w:r>
        <w:t xml:space="preserve">1% of mean), so the production C2 lift is not an artefact of a particular denoiser-init seed.</w:t>
      </w:r>
    </w:p>
    <w:p>
      <w:pPr>
        <w:pStyle w:val="BodyText"/>
        <w:jc w:val="both"/>
        <w:keepNext w:val="0"/>
        <w:keepLines w:val="0"/>
        <w:widowControl w:val="1"/>
      </w:pPr>
      <w:r>
        <w:t xml:space="preserve">The diffusion model trains on the full 694k augmented corpus; the candidate-discovery objective is to extrapolate off the labelled distribution rather than recover held-out labels, so we do not report a held-out test split. The Tanimoto-stratified novelty against the 694k corpus (§5.4: median 0.32, 0/100 within Tanimoto 0.70) is the train-leakage proxy. The 3D-CNN surrogate → xTB triage → DFT minimum chain is not a substitute for first-principles equilibrium thermochemistry or experimental synthesis; we position the paper as a methodology and a candidate-list paper, not a synthesis paper. Finally, the cfg-dropout (0.10), property-dropout (0.30), high-tail oversample (10×), and the Tanimoto window (0.20, 0.55) are fixed configuration; no full hyperparameter grid is reported (Appendix D.3).</w:t>
      </w:r>
    </w:p>
    <w:bookmarkEnd w:id="137"/>
    <w:bookmarkStart w:id="140" w:name="sec-conc"/>
    <w:p>
      <w:pPr>
        <w:pStyle w:val="Heading2"/>
        <w:keepNext/>
        <w:keepLines/>
        <w:widowControl w:val="1"/>
      </w:pPr>
      <w:r>
        <w:t xml:space="preserve">7. Conclusion</w:t>
      </w:r>
    </w:p>
    <w:p>
      <w:pPr>
        <w:pStyle w:val="FirstParagraph"/>
        <w:jc w:val="both"/>
        <w:keepNext w:val="0"/>
        <w:keepLines w:val="0"/>
        <w:widowControl w:val="1"/>
      </w:pPr>
      <w:r>
        <w:t xml:space="preserve">DGLD demonstrates that a label-quality gate at training time, multi-head score-model guidance at sample time, and a four-stage chemistry-validation funnel are sufficient to produce novel CHNO leads in the HMX/CL-20 performance band on commodity hardware. Twelve leads are DFT-confirmed local minima; the headline compound (L1, 3,4,5-trinitro-1,2-isoxazole) reaches</w:t>
      </w:r>
      <w:r>
        <w:t xml:space="preserve"> </w:t>
      </w:r>
      <m:oMath>
        <m:sSub>
          <m:e>
            <m:r>
              <m:t>ρ</m:t>
            </m:r>
          </m:e>
          <m:sub>
            <m:r>
              <m:rPr>
                <m:nor/>
                <m:sty m:val="p"/>
              </m:rPr>
              <m:t>cal</m:t>
            </m:r>
          </m:sub>
        </m:sSub>
        <m:r>
          <m:rPr>
            <m:sty m:val="p"/>
          </m:rPr>
          <m:t>=</m:t>
        </m:r>
        <m:r>
          <m:t>2.09</m:t>
        </m:r>
      </m:oMath>
      <w:r>
        <w:t xml:space="preserve"> g/cm</w:t>
      </w:r>
      <w:r>
        <w:rPr>
          <w:vertAlign w:val="superscript"/>
        </w:rPr>
        <w:t xml:space="preserve">3</w:t>
      </w:r>
      <w:r>
        <w:t xml:space="preserve"> </w:t>
      </w:r>
      <w:r>
        <w:t xml:space="preserve">and</w:t>
      </w:r>
      <w:r>
        <w:t xml:space="preserve"> </w:t>
      </w:r>
      <m:oMath>
        <m:sSub>
          <m:e>
            <m:r>
              <m:t>D</m:t>
            </m:r>
          </m:e>
          <m:sub>
            <m:r>
              <m:rPr>
                <m:nor/>
                <m:sty m:val="p"/>
              </m:rPr>
              <m:t>K-J,cal</m:t>
            </m:r>
          </m:sub>
        </m:sSub>
        <m:r>
          <m:rPr>
            <m:sty m:val="p"/>
          </m:rPr>
          <m:t>=</m:t>
        </m:r>
        <m:r>
          <m:t>8.25</m:t>
        </m:r>
      </m:oMath>
      <w:r>
        <w:t xml:space="preserve"> km/s and is structurally dissimilar from all 65 980 training molecules (nearest-neighbour Tanimoto 0.27). Three strong baselines fail the novel-and-on-target test on the same compute: SMILES-LSTM memorises 18.3% of outputs; SELFIES-GA produces 74% corpus rediscoveries, with its best novel candidate collapsing from</w:t>
      </w:r>
      <w:r>
        <w:t xml:space="preserve"> </w:t>
      </w:r>
      <m:oMath>
        <m:sSub>
          <m:e>
            <m:r>
              <m:t>D</m:t>
            </m:r>
          </m:e>
          <m:sub>
            <m:r>
              <m:rPr>
                <m:nor/>
                <m:sty m:val="p"/>
              </m:rPr>
              <m:t>surrogate</m:t>
            </m:r>
          </m:sub>
        </m:sSub>
        <m:r>
          <m:rPr>
            <m:sty m:val="p"/>
          </m:rPr>
          <m:t>=</m:t>
        </m:r>
        <m:r>
          <m:t>9.73</m:t>
        </m:r>
      </m:oMath>
      <w:r>
        <w:t xml:space="preserve"> </w:t>
      </w:r>
      <w:r>
        <w:t xml:space="preserve">to</w:t>
      </w:r>
      <w:r>
        <w:t xml:space="preserve"> </w:t>
      </w:r>
      <m:oMath>
        <m:sSub>
          <m:e>
            <m:r>
              <m:t>D</m:t>
            </m:r>
          </m:e>
          <m:sub>
            <m:r>
              <m:rPr>
                <m:nor/>
                <m:sty m:val="p"/>
              </m:rPr>
              <m:t>DFT</m:t>
            </m:r>
          </m:sub>
        </m:sSub>
        <m:r>
          <m:rPr>
            <m:sty m:val="p"/>
          </m:rPr>
          <m:t>=</m:t>
        </m:r>
        <m:r>
          <m:t>6.28</m:t>
        </m:r>
      </m:oMath>
      <w:r>
        <w:t xml:space="preserve"> km/s under DFT audit (a 3.5 km/s surrogate artefact); REINVENT 4 generates novel high-N heterocycles but peaks at</w:t>
      </w:r>
      <w:r>
        <w:t xml:space="preserve"> </w:t>
      </w:r>
      <m:oMath>
        <m:r>
          <m:t>D</m:t>
        </m:r>
        <m:r>
          <m:rPr>
            <m:sty m:val="p"/>
          </m:rPr>
          <m:t>=</m:t>
        </m:r>
        <m:r>
          <m:t>9.02</m:t>
        </m:r>
      </m:oMath>
      <w:r>
        <w:t xml:space="preserve"> km/s. Across all four baselines, DGLD is the only method with consistent productive-quadrant coverage confirmed at DFT level. (Kamlet–Jacobs relative ranking throughout; absolute</w:t>
      </w:r>
      <w:r>
        <w:t xml:space="preserve"> </w:t>
      </w:r>
      <m:oMath>
        <m:r>
          <m:t>D</m:t>
        </m:r>
      </m:oMath>
      <w:r>
        <w:t xml:space="preserve"> </w:t>
      </w:r>
      <w:r>
        <w:t xml:space="preserve">requires a thermochemical-equilibrium solver, §6.)</w:t>
      </w:r>
    </w:p>
    <w:p>
      <w:pPr>
        <w:pStyle w:val="BodyText"/>
        <w:jc w:val="both"/>
        <w:keepNext w:val="0"/>
        <w:keepLines w:val="0"/>
        <w:widowControl w:val="1"/>
      </w:pPr>
      <w:r>
        <w:t xml:space="preserve">A second lead, E1 (4-nitro-1,2,3,5-oxatriazole), reaches</w:t>
      </w:r>
      <w:r>
        <w:t xml:space="preserve"> </w:t>
      </w:r>
      <m:oMath>
        <m:sSub>
          <m:e>
            <m:r>
              <m:t>D</m:t>
            </m:r>
          </m:e>
          <m:sub>
            <m:r>
              <m:rPr>
                <m:nor/>
                <m:sty m:val="p"/>
              </m:rPr>
              <m:t>K-J,cal</m:t>
            </m:r>
          </m:sub>
        </m:sSub>
        <m:r>
          <m:rPr>
            <m:sty m:val="p"/>
          </m:rPr>
          <m:t>=</m:t>
        </m:r>
        <m:r>
          <m:t>9.00</m:t>
        </m:r>
      </m:oMath>
      <w:r>
        <w:t xml:space="preserve"> km/s and</w:t>
      </w:r>
      <w:r>
        <w:t xml:space="preserve"> </w:t>
      </w:r>
      <m:oMath>
        <m:sSub>
          <m:e>
            <m:r>
              <m:t>ρ</m:t>
            </m:r>
          </m:e>
          <m:sub>
            <m:r>
              <m:rPr>
                <m:nor/>
                <m:sty m:val="p"/>
              </m:rPr>
              <m:t>cal</m:t>
            </m:r>
          </m:sub>
        </m:sSub>
        <m:r>
          <m:rPr>
            <m:sty m:val="p"/>
          </m:rPr>
          <m:t>=</m:t>
        </m:r>
        <m:r>
          <m:t>2.04</m:t>
        </m:r>
      </m:oMath>
      <w:r>
        <w:t xml:space="preserve"> g/cm</w:t>
      </w:r>
      <w:r>
        <w:rPr>
          <w:vertAlign w:val="superscript"/>
        </w:rPr>
        <w:t xml:space="preserve">3</w:t>
      </w:r>
      <w:r>
        <w:t xml:space="preserve"> </w:t>
      </w:r>
      <w:r>
        <w:t xml:space="preserve">from a chemotype family disjoint from the L1 isoxazole class, promoting E1 to co-headline status pending thermal stability confirmation and a 1,2,3,5-oxatriazole-class DFT anchor (§6). Two leads from two distinct scaffold families on a single sampling run rules out the alternative reading that L1's productive-quadrant placement is a sampling artefact.</w:t>
      </w:r>
    </w:p>
    <w:p>
      <w:pPr>
        <w:pStyle w:val="BodyText"/>
        <w:jc w:val="both"/>
        <w:keepNext w:val="0"/>
        <w:keepLines w:val="0"/>
        <w:widowControl w:val="1"/>
      </w:pPr>
      <w:r>
        <w:rPr>
          <w:b/>
          <w:bCs/>
        </w:rPr>
        <w:t xml:space="preserve">Recommendation for synthesis-and-characterisation.</w:t>
      </w:r>
      <w:r>
        <w:t xml:space="preserve"> </w:t>
      </w:r>
      <w:r>
        <w:t xml:space="preserve">L1 meets five criteria for an experimental campaign: it is absent from PubChem and the 65 980-row labelled master, AiZynthFinder finds a 4-step productive route (the energetic-domain intermediates are flagged</w:t>
      </w:r>
      <w:r>
        <w:t xml:space="preserve"> </w:t>
      </w:r>
      <w:r>
        <w:rPr>
          <w:rStyle w:val="VerbatimChar"/>
        </w:rPr>
        <w:t xml:space="preserve">in_stock: false</w:t>
      </w:r>
      <w:r>
        <w:t xml:space="preserve"> </w:t>
      </w:r>
      <w:r>
        <w:t xml:space="preserve">against ZINC, §5.4; subject to the §D.14 acyl-azide intermediate hazard noted there: DPPA Curtius rearrangement, the acyl-azide is a primary-explosive-class motif requiring careful handling), the GFN2-xTB HOMO–LUMO gap is 2.6 eV, the GFN2-xTB weakest-bond BDE is 86 kcal/mol on a C–NO</w:t>
      </w:r>
      <w:r>
        <w:rPr>
          <w:vertAlign w:val="subscript"/>
        </w:rPr>
        <w:t xml:space="preserve">2</w:t>
      </w:r>
      <w:r>
        <w:t xml:space="preserve"> </w:t>
      </w:r>
      <w:r>
        <w:t xml:space="preserve">bond (the dominant decomposition channel; nitro loss, with no sub-80 kcal/mol primary-explosive sensitivity flag), and DFT confirms a real local minimum. Polymorph screening and crystal-density refinement (§6) are required before any density-derived performance claim can be considered quantitative.</w:t>
      </w:r>
    </w:p>
    <w:p>
      <w:pPr>
        <w:pStyle w:val="BodyText"/>
        <w:jc w:val="both"/>
        <w:keepNext w:val="0"/>
        <w:keepLines w:val="0"/>
        <w:widowControl w:val="1"/>
      </w:pPr>
      <w:r>
        <w:t xml:space="preserve">Three extensions would close the remaining gaps. First, replace the closed-form Kamlet–Jacobs step with a thermochemical-equilibrium covolume CJ solver. The open-source Cantera-based Shock and Detonation Toolbox is the practical path; EXPLO5 and Cheetah-2 are commercial alternatives. Either choice, applied to the 6-anchor-calibrated DFT inputs, converts relative-ranking-grade predictions into absolute-value-grade ones and removes the K-J caveat from the headline. Second, an energetics-domain retrosynthetic template library covering nitration, N</w:t>
      </w:r>
      <w:r>
        <w:rPr>
          <w:vertAlign w:val="subscript"/>
        </w:rPr>
        <w:t xml:space="preserve">2</w:t>
      </w:r>
      <w:r>
        <w:t xml:space="preserve">O</w:t>
      </w:r>
      <w:r>
        <w:rPr>
          <w:vertAlign w:val="subscript"/>
        </w:rPr>
        <w:t xml:space="preserve">5</w:t>
      </w:r>
      <w:r>
        <w:t xml:space="preserve"> </w:t>
      </w:r>
      <w:r>
        <w:t xml:space="preserve">nitrolysis, and ring-cyclisation reactions would close the 1/12 USPTO-template hit rate observed here, making the synthesis-plausibility check informative across the full lead set. Third, an active-learning loop closing the diffusion-sampler / first-principles-audit cycle would continuously expand the high-tier label pool from inside the system rather than from external curation. The full pipeline (LIMO checkpoint, two conditional latent denoisers, two multi-head score models, the 4-stage validation funnel, and the 918 mined hard negatives) is released as a runnable code bundle on Zenodo (§7.1), so the next compound to enter the HMX-class band can be discovered, validated, and recommended for synthesis at the cost of a few GPU-days.</w:t>
      </w:r>
    </w:p>
    <w:bookmarkStart w:id="139" w:name="code-and-data-availability"/>
    <w:p>
      <w:pPr>
        <w:pStyle w:val="Heading3"/>
        <w:keepNext/>
        <w:keepLines/>
        <w:widowControl w:val="1"/>
      </w:pPr>
      <w:r>
        <w:t xml:space="preserve">7.1 Code and data availability</w:t>
      </w:r>
    </w:p>
    <w:p>
      <w:pPr>
        <w:pStyle w:val="FirstParagraph"/>
        <w:jc w:val="both"/>
        <w:keepNext w:val="0"/>
        <w:keepLines w:val="0"/>
        <w:widowControl w:val="1"/>
      </w:pPr>
      <w:r>
        <w:t xml:space="preserve">Trained model checkpoints (LIMO VAE, two conditional latent denoisers DGLD-H and DGLD-P, two multi-head latent score models, the SELFIES alphabet, and run metadata) are deposited on Zenodo under CC-BY-4.0 with reserved DOI</w:t>
      </w:r>
      <w:r>
        <w:t xml:space="preserve"> </w:t>
      </w:r>
      <w:hyperlink r:id="rId10">
        <w:r>
          <w:rPr>
            <w:rStyle w:val="VerbatimChar"/>
          </w:rPr>
          <w:t xml:space="preserve">10.5281/zenodo.19821953</w:t>
        </w:r>
      </w:hyperlink>
      <w:r>
        <w:t xml:space="preserve"> </w:t>
      </w:r>
      <w:r>
        <w:t xml:space="preserve">(draft:</w:t>
      </w:r>
      <w:r>
        <w:t xml:space="preserve"> </w:t>
      </w:r>
      <w:hyperlink r:id="rId138">
        <w:r>
          <w:rPr>
            <w:rStyle w:val="Hyperlink"/>
          </w:rPr>
          <w:t xml:space="preserve">zenodo.org/deposit/19821953</w:t>
        </w:r>
      </w:hyperlink>
      <w:r>
        <w:t xml:space="preserve">); the DOI mints on publication of the deposition. Sampling and post-processing scripts (the M1 head-to-head sweep, the Pareto-reranker chemist-filter + 3D-CNN smoke-model rerank, the multi-head score-model training loop) are released as a runnable bundle alongside the manuscript. The labelled master, the augmented unlabelled corpus, and the hard-negative latents are derived from the public sources documented in §A.1 and are redistributed in canonicalised form with row-level provenance.</w:t>
      </w:r>
    </w:p>
    <w:bookmarkEnd w:id="139"/>
    <w:bookmarkEnd w:id="140"/>
    <w:bookmarkStart w:id="215" w:name="sec-refs"/>
    <w:p>
      <w:pPr>
        <w:pStyle w:val="ReferencesHeading"/>
        <w:jc w:val="left"/>
        <w:keepNext/>
        <w:keepLines/>
        <w:widowControl w:val="1"/>
      </w:pPr>
      <w:r>
        <w:t xml:space="preserve">References</w:t>
      </w:r>
    </w:p>
    <w:p>
      <w:pPr>
        <w:pStyle w:val="ReferenceEntry"/>
        <w:numPr>
          <w:ilvl w:val="0"/>
          <w:numId w:val="1003"/>
        </w:numPr>
        <w:jc w:val="left"/>
        <w:keepNext w:val="0"/>
        <w:keepLines w:val="0"/>
        <w:widowControl w:val="1"/>
      </w:pPr>
      <w:bookmarkStart w:id="141" w:name="ref-eckmann2022limo"/>
      <w:r>
        <w:t xml:space="preserve">Eckmann, P., Sun, K., Zhao, B., Feng, M., Gilson, M. K., &amp; Yu, R. (2022). LIMO: Latent Inceptionism for Targeted Molecule Generation.</w:t>
      </w:r>
      <w:r>
        <w:t xml:space="preserve"> </w:t>
      </w:r>
      <w:r>
        <w:rPr>
          <w:i/>
          <w:iCs/>
        </w:rPr>
        <w:t xml:space="preserve">ICML 2022</w:t>
      </w:r>
      <w:r>
        <w:t xml:space="preserve">. arXiv:2206.09010.</w:t>
      </w:r>
      <w:bookmarkEnd w:id="141"/>
    </w:p>
    <w:p>
      <w:pPr>
        <w:pStyle w:val="ReferenceEntry"/>
        <w:numPr>
          <w:ilvl w:val="0"/>
          <w:numId w:val="1003"/>
        </w:numPr>
        <w:jc w:val="left"/>
        <w:keepNext w:val="0"/>
        <w:keepLines w:val="0"/>
        <w:widowControl w:val="1"/>
      </w:pPr>
      <w:bookmarkStart w:id="142" w:name="ref-gomez2018automatic"/>
      <w:r>
        <w:t xml:space="preserve">Gómez-Bombarelli, R. et al. (2018). Automatic Chemical Design Using a Data-Driven Continuous Representation of Molecules.</w:t>
      </w:r>
      <w:r>
        <w:t xml:space="preserve"> </w:t>
      </w:r>
      <w:r>
        <w:rPr>
          <w:i/>
          <w:iCs/>
        </w:rPr>
        <w:t xml:space="preserve">ACS Central Science 4(2)</w:t>
      </w:r>
      <w:r>
        <w:t xml:space="preserve">:268–276. doi:10.1021/acscentsci.7b00572.</w:t>
      </w:r>
      <w:bookmarkEnd w:id="142"/>
    </w:p>
    <w:p>
      <w:pPr>
        <w:pStyle w:val="ReferenceEntry"/>
        <w:numPr>
          <w:ilvl w:val="0"/>
          <w:numId w:val="1003"/>
        </w:numPr>
        <w:jc w:val="left"/>
        <w:keepNext w:val="0"/>
        <w:keepLines w:val="0"/>
        <w:widowControl w:val="1"/>
      </w:pPr>
      <w:bookmarkStart w:id="143" w:name="ref-jin2018junction"/>
      <w:r>
        <w:t xml:space="preserve">Jin, W., Barzilay, R., &amp; Jaakkola, T. (2018). Junction Tree Variational Autoencoder for Molecular Graph Generation.</w:t>
      </w:r>
      <w:r>
        <w:t xml:space="preserve"> </w:t>
      </w:r>
      <w:r>
        <w:rPr>
          <w:i/>
          <w:iCs/>
        </w:rPr>
        <w:t xml:space="preserve">ICML 2018</w:t>
      </w:r>
      <w:r>
        <w:t xml:space="preserve">. arXiv:1802.04364.</w:t>
      </w:r>
      <w:bookmarkEnd w:id="143"/>
    </w:p>
    <w:p>
      <w:pPr>
        <w:pStyle w:val="ReferenceEntry"/>
        <w:numPr>
          <w:ilvl w:val="0"/>
          <w:numId w:val="1003"/>
        </w:numPr>
        <w:jc w:val="left"/>
        <w:keepNext w:val="0"/>
        <w:keepLines w:val="0"/>
        <w:widowControl w:val="1"/>
      </w:pPr>
      <w:bookmarkStart w:id="144" w:name="ref-reidenbach2023molmim"/>
      <w:r>
        <w:t xml:space="preserve">Reidenbach, D., Livne, M., Ilango, R. K., Gill, M., &amp; Israeli, J. (2023). MolMIM: A Molecular Language Model for Property-Guided Molecule Generation via Mutual Information Machines. (MLDD Workshop, ICLR 2023; arXiv:2208.09016).</w:t>
      </w:r>
      <w:bookmarkEnd w:id="144"/>
    </w:p>
    <w:p>
      <w:pPr>
        <w:pStyle w:val="ReferenceEntry"/>
        <w:numPr>
          <w:ilvl w:val="0"/>
          <w:numId w:val="1003"/>
        </w:numPr>
        <w:jc w:val="left"/>
        <w:keepNext w:val="0"/>
        <w:keepLines w:val="0"/>
        <w:widowControl w:val="1"/>
      </w:pPr>
      <w:bookmarkStart w:id="145" w:name="ref-ross2022molformer"/>
      <w:r>
        <w:t xml:space="preserve">Ross, J. et al. (2022). Large-Scale Chemical Language Representations Capture Molecular Structure and Properties.</w:t>
      </w:r>
      <w:r>
        <w:t xml:space="preserve"> </w:t>
      </w:r>
      <w:r>
        <w:rPr>
          <w:i/>
          <w:iCs/>
        </w:rPr>
        <w:t xml:space="preserve">Nature Machine Intelligence 4</w:t>
      </w:r>
      <w:r>
        <w:t xml:space="preserve">:1256–1264. doi:10.1038/s42256-022-00580-7.</w:t>
      </w:r>
      <w:bookmarkEnd w:id="145"/>
    </w:p>
    <w:p>
      <w:pPr>
        <w:pStyle w:val="ReferenceEntry"/>
        <w:numPr>
          <w:ilvl w:val="0"/>
          <w:numId w:val="1003"/>
        </w:numPr>
        <w:jc w:val="left"/>
        <w:keepNext w:val="0"/>
        <w:keepLines w:val="0"/>
        <w:widowControl w:val="1"/>
      </w:pPr>
      <w:bookmarkStart w:id="146" w:name="ref-bengio2021gflownet"/>
      <w:r>
        <w:t xml:space="preserve">Bengio, E., Jain, M., Korablyov, M., Precup, D., &amp; Bengio, Y. (2021). Flow Network Based Generative Models for Non-Iterative Diverse Candidate Generation.</w:t>
      </w:r>
      <w:r>
        <w:t xml:space="preserve"> </w:t>
      </w:r>
      <w:r>
        <w:rPr>
          <w:i/>
          <w:iCs/>
        </w:rPr>
        <w:t xml:space="preserve">NeurIPS 2021</w:t>
      </w:r>
      <w:r>
        <w:t xml:space="preserve">. arXiv:2106.04399.</w:t>
      </w:r>
      <w:bookmarkEnd w:id="146"/>
    </w:p>
    <w:p>
      <w:pPr>
        <w:pStyle w:val="ReferenceEntry"/>
        <w:numPr>
          <w:ilvl w:val="0"/>
          <w:numId w:val="1003"/>
        </w:numPr>
        <w:jc w:val="left"/>
        <w:keepNext w:val="0"/>
        <w:keepLines w:val="0"/>
        <w:widowControl w:val="1"/>
      </w:pPr>
      <w:bookmarkStart w:id="147" w:name="ref-hoogeboom2022edm"/>
      <w:r>
        <w:t xml:space="preserve">Hoogeboom, E., Garcia Satorras, V., Vignac, C., &amp; Welling, M. (2022). Equivariant Diffusion for Molecule Generation in 3D.</w:t>
      </w:r>
      <w:r>
        <w:t xml:space="preserve"> </w:t>
      </w:r>
      <w:r>
        <w:rPr>
          <w:i/>
          <w:iCs/>
        </w:rPr>
        <w:t xml:space="preserve">ICML 2022</w:t>
      </w:r>
      <w:r>
        <w:t xml:space="preserve">. arXiv:2203.17003.</w:t>
      </w:r>
      <w:bookmarkEnd w:id="147"/>
    </w:p>
    <w:p>
      <w:pPr>
        <w:pStyle w:val="ReferenceEntry"/>
        <w:numPr>
          <w:ilvl w:val="0"/>
          <w:numId w:val="1003"/>
        </w:numPr>
        <w:jc w:val="left"/>
        <w:keepNext w:val="0"/>
        <w:keepLines w:val="0"/>
        <w:widowControl w:val="1"/>
      </w:pPr>
      <w:bookmarkStart w:id="148" w:name="ref-vignac2023digress"/>
      <w:r>
        <w:t xml:space="preserve">Vignac, C. et al. (2023). DiGress: Discrete Denoising Diffusion for Graph Generation.</w:t>
      </w:r>
      <w:r>
        <w:t xml:space="preserve"> </w:t>
      </w:r>
      <w:r>
        <w:rPr>
          <w:i/>
          <w:iCs/>
        </w:rPr>
        <w:t xml:space="preserve">ICLR 2023</w:t>
      </w:r>
      <w:r>
        <w:t xml:space="preserve">. arXiv:2209.14734.</w:t>
      </w:r>
      <w:bookmarkEnd w:id="148"/>
    </w:p>
    <w:p>
      <w:pPr>
        <w:pStyle w:val="ReferenceEntry"/>
        <w:numPr>
          <w:ilvl w:val="0"/>
          <w:numId w:val="1003"/>
        </w:numPr>
        <w:jc w:val="left"/>
        <w:keepNext w:val="0"/>
        <w:keepLines w:val="0"/>
        <w:widowControl w:val="1"/>
      </w:pPr>
      <w:bookmarkStart w:id="149" w:name="ref-irwin2022chemformer"/>
      <w:r>
        <w:t xml:space="preserve">Irwin, R., Dimitriadis, S., He, J., &amp; Bjerrum, E. J. (2022). Chemformer: A Pre-Trained Transformer for Computational Chemistry.</w:t>
      </w:r>
      <w:r>
        <w:t xml:space="preserve"> </w:t>
      </w:r>
      <w:r>
        <w:rPr>
          <w:i/>
          <w:iCs/>
        </w:rPr>
        <w:t xml:space="preserve">Mach. Learn.: Sci. Tech. 3</w:t>
      </w:r>
      <w:r>
        <w:t xml:space="preserve">:015022. doi:10.1088/2632-2153/ac3ffb.</w:t>
      </w:r>
      <w:bookmarkEnd w:id="149"/>
    </w:p>
    <w:p>
      <w:pPr>
        <w:pStyle w:val="ReferenceEntry"/>
        <w:numPr>
          <w:ilvl w:val="0"/>
          <w:numId w:val="1003"/>
        </w:numPr>
        <w:jc w:val="left"/>
        <w:keepNext w:val="0"/>
        <w:keepLines w:val="0"/>
        <w:widowControl w:val="1"/>
      </w:pPr>
      <w:bookmarkStart w:id="150" w:name="ref-peng2023moldiff"/>
      <w:r>
        <w:t xml:space="preserve">Peng, X., Guan, J., Liu, Q., &amp; Ma, J. (2023). MolDiff: Addressing the Atom-Bond Inconsistency Problem in 3D Molecule Diffusion Generation.</w:t>
      </w:r>
      <w:r>
        <w:t xml:space="preserve"> </w:t>
      </w:r>
      <w:r>
        <w:rPr>
          <w:i/>
          <w:iCs/>
        </w:rPr>
        <w:t xml:space="preserve">ICML 2023</w:t>
      </w:r>
      <w:r>
        <w:t xml:space="preserve">. arXiv:2305.07508.</w:t>
      </w:r>
      <w:bookmarkEnd w:id="150"/>
    </w:p>
    <w:p>
      <w:pPr>
        <w:pStyle w:val="ReferenceEntry"/>
        <w:numPr>
          <w:ilvl w:val="0"/>
          <w:numId w:val="1003"/>
        </w:numPr>
        <w:jc w:val="left"/>
        <w:keepNext w:val="0"/>
        <w:keepLines w:val="0"/>
        <w:widowControl w:val="1"/>
      </w:pPr>
      <w:bookmarkStart w:id="151" w:name="ref-mathieu2017sensitivity"/>
      <w:r>
        <w:t xml:space="preserve">Mathieu, D. (2017). Sensitivity of Energetic Materials: Theoretical Relationships to Detonation Performance and Molecular Structure.</w:t>
      </w:r>
      <w:r>
        <w:t xml:space="preserve"> </w:t>
      </w:r>
      <w:r>
        <w:rPr>
          <w:i/>
          <w:iCs/>
        </w:rPr>
        <w:t xml:space="preserve">Ind. Eng. Chem. Res. 56(31)</w:t>
      </w:r>
      <w:r>
        <w:t xml:space="preserve">:8191–8201. doi:10.1021/acs.iecr.7b02021.</w:t>
      </w:r>
      <w:bookmarkEnd w:id="151"/>
    </w:p>
    <w:p>
      <w:pPr>
        <w:pStyle w:val="ReferenceEntry"/>
        <w:numPr>
          <w:ilvl w:val="0"/>
          <w:numId w:val="1003"/>
        </w:numPr>
        <w:jc w:val="left"/>
        <w:keepNext w:val="0"/>
        <w:keepLines w:val="0"/>
        <w:widowControl w:val="1"/>
      </w:pPr>
      <w:bookmarkStart w:id="153" w:name="ref-daylight-smarts"/>
      <w:r>
        <w:t xml:space="preserve">Daylight Chemical Information Systems. (2007). SMARTS: A Language for Describing Molecular Patterns. Daylight Theory Manual, Aliso Viejo, CA.</w:t>
      </w:r>
      <w:r>
        <w:t xml:space="preserve"> </w:t>
      </w:r>
      <w:hyperlink r:id="rId152">
        <w:r>
          <w:rPr>
            <w:rStyle w:val="Hyperlink"/>
          </w:rPr>
          <w:t xml:space="preserve">daylight.com/dayhtml/doc/theory/theory.smarts.html</w:t>
        </w:r>
      </w:hyperlink>
      <w:r>
        <w:t xml:space="preserve">. SMARTS = SMILES Arbitrary Target Specification: a pattern language extending SMILES that matches molecular substructures, used by RDKit and other cheminformatics toolkits to evaluate hard-reject catalogs (this work, §4.7).</w:t>
      </w:r>
      <w:bookmarkEnd w:id="153"/>
    </w:p>
    <w:p>
      <w:pPr>
        <w:pStyle w:val="ReferenceEntry"/>
        <w:numPr>
          <w:ilvl w:val="0"/>
          <w:numId w:val="1003"/>
        </w:numPr>
        <w:jc w:val="left"/>
        <w:keepNext w:val="0"/>
        <w:keepLines w:val="0"/>
        <w:widowControl w:val="1"/>
      </w:pPr>
      <w:bookmarkStart w:id="154" w:name="ref-politzer2014some"/>
      <w:r>
        <w:t xml:space="preserve">Politzer, P., &amp; Murray, J. S. (2014). Some Perspectives on Estimating Detonation Properties of C, H, N, O Compounds.</w:t>
      </w:r>
      <w:r>
        <w:t xml:space="preserve"> </w:t>
      </w:r>
      <w:r>
        <w:rPr>
          <w:i/>
          <w:iCs/>
        </w:rPr>
        <w:t xml:space="preserve">Cent. Eur. J. Energ. Mater. 11(4)</w:t>
      </w:r>
      <w:r>
        <w:t xml:space="preserve">:459–474.</w:t>
      </w:r>
      <w:bookmarkEnd w:id="154"/>
    </w:p>
    <w:p>
      <w:pPr>
        <w:pStyle w:val="ReferenceEntry"/>
        <w:numPr>
          <w:ilvl w:val="0"/>
          <w:numId w:val="1003"/>
        </w:numPr>
        <w:jc w:val="left"/>
        <w:keepNext w:val="0"/>
        <w:keepLines w:val="0"/>
        <w:widowControl w:val="1"/>
      </w:pPr>
      <w:bookmarkStart w:id="155" w:name="ref-suceska2018explo5"/>
      <w:r>
        <w:t xml:space="preserve">Sućeska, M. (2018). EXPLO5 v6.05.04 User's Manual. Brodarski Institute, Zagreb, Croatia. Computer program for calculation of detonation parameters from molecular formula, density, and heat of formation via thermochemical-equilibrium Chapman–Jouguet solver with covolume EOS.</w:t>
      </w:r>
      <w:bookmarkEnd w:id="155"/>
    </w:p>
    <w:p>
      <w:pPr>
        <w:pStyle w:val="ReferenceEntry"/>
        <w:numPr>
          <w:ilvl w:val="0"/>
          <w:numId w:val="1003"/>
        </w:numPr>
        <w:jc w:val="left"/>
        <w:keepNext w:val="0"/>
        <w:keepLines w:val="0"/>
        <w:widowControl w:val="1"/>
      </w:pPr>
      <w:bookmarkStart w:id="156" w:name="ref-fried2014cheetah"/>
      <w:r>
        <w:t xml:space="preserve">Fried, L. E., Howard, W. M., Souers, P. C., &amp; Vitello, P. A. (2014). Cheetah 7.0 User's Manual. Lawrence Livermore National Laboratory technical report LLNL-SM-664002. Thermochemical-equilibrium detonation code with JCZ3 / BKWS covolume EOS.</w:t>
      </w:r>
      <w:bookmarkEnd w:id="156"/>
    </w:p>
    <w:p>
      <w:pPr>
        <w:pStyle w:val="ReferenceEntry"/>
        <w:numPr>
          <w:ilvl w:val="0"/>
          <w:numId w:val="1003"/>
        </w:numPr>
        <w:jc w:val="left"/>
        <w:keepNext w:val="0"/>
        <w:keepLines w:val="0"/>
        <w:widowControl w:val="1"/>
      </w:pPr>
      <w:bookmarkStart w:id="157" w:name="ref-kamlet1968detonation"/>
      <w:r>
        <w:t xml:space="preserve">Kamlet, M. J., &amp; Jacobs, S. J. (1968). Chemistry of Detonations. I. A Simple Method for Calculating Detonation Properties of C-H-N-O Explosives.</w:t>
      </w:r>
      <w:r>
        <w:t xml:space="preserve"> </w:t>
      </w:r>
      <w:r>
        <w:rPr>
          <w:i/>
          <w:iCs/>
        </w:rPr>
        <w:t xml:space="preserve">J. Chem. Phys. 48</w:t>
      </w:r>
      <w:r>
        <w:t xml:space="preserve">:23–55. doi:10.1063/1.1667908.</w:t>
      </w:r>
      <w:bookmarkEnd w:id="157"/>
    </w:p>
    <w:p>
      <w:pPr>
        <w:pStyle w:val="ReferenceEntry"/>
        <w:numPr>
          <w:ilvl w:val="0"/>
          <w:numId w:val="1003"/>
        </w:numPr>
        <w:jc w:val="left"/>
        <w:keepNext w:val="0"/>
        <w:keepLines w:val="0"/>
        <w:widowControl w:val="1"/>
      </w:pPr>
      <w:bookmarkStart w:id="158" w:name="ref-elton2018applying"/>
      <w:r>
        <w:t xml:space="preserve">Elton, D. C., Boukouvalas, Z., Butrico, M. S., Fuge, M. D., &amp; Chung, P. W. (2018). Applying Machine Learning Techniques to Predict the Properties of Energetic Materials.</w:t>
      </w:r>
      <w:r>
        <w:t xml:space="preserve"> </w:t>
      </w:r>
      <w:r>
        <w:rPr>
          <w:i/>
          <w:iCs/>
        </w:rPr>
        <w:t xml:space="preserve">Sci. Rep. 8</w:t>
      </w:r>
      <w:r>
        <w:t xml:space="preserve">:9059.</w:t>
      </w:r>
      <w:bookmarkEnd w:id="158"/>
    </w:p>
    <w:p>
      <w:pPr>
        <w:pStyle w:val="ReferenceEntry"/>
        <w:numPr>
          <w:ilvl w:val="0"/>
          <w:numId w:val="1003"/>
        </w:numPr>
        <w:jc w:val="left"/>
        <w:keepNext w:val="0"/>
        <w:keepLines w:val="0"/>
        <w:widowControl w:val="1"/>
      </w:pPr>
      <w:bookmarkStart w:id="159" w:name="ref-casey2020prediction"/>
      <w:r>
        <w:t xml:space="preserve">Casey, A. D., Son, S. P., Bilionis, I., &amp; Barnes, B. C. (2020). Prediction of Energetic Material Properties from Electronic Structure Using 3D Convolutional Neural Networks.</w:t>
      </w:r>
      <w:r>
        <w:t xml:space="preserve"> </w:t>
      </w:r>
      <w:r>
        <w:rPr>
          <w:i/>
          <w:iCs/>
        </w:rPr>
        <w:t xml:space="preserve">J. Chem. Inf. Model. 60(10)</w:t>
      </w:r>
      <w:r>
        <w:t xml:space="preserve">:4457–4473. doi:10.1021/acs.jcim.0c00259.</w:t>
      </w:r>
      <w:bookmarkEnd w:id="159"/>
    </w:p>
    <w:p>
      <w:pPr>
        <w:pStyle w:val="ReferenceEntry"/>
        <w:numPr>
          <w:ilvl w:val="0"/>
          <w:numId w:val="1003"/>
        </w:numPr>
        <w:jc w:val="left"/>
        <w:keepNext w:val="0"/>
        <w:keepLines w:val="0"/>
        <w:widowControl w:val="1"/>
      </w:pPr>
      <w:bookmarkStart w:id="160" w:name="ref-zhou2023unimol"/>
      <w:r>
        <w:t xml:space="preserve">Zhou, G. et al. (2023). Uni-Mol: A Universal 3D Molecular Representation Learning Framework.</w:t>
      </w:r>
      <w:r>
        <w:t xml:space="preserve"> </w:t>
      </w:r>
      <w:r>
        <w:rPr>
          <w:i/>
          <w:iCs/>
        </w:rPr>
        <w:t xml:space="preserve">ICLR 2023</w:t>
      </w:r>
      <w:r>
        <w:t xml:space="preserve">.</w:t>
      </w:r>
      <w:bookmarkEnd w:id="160"/>
    </w:p>
    <w:p>
      <w:pPr>
        <w:pStyle w:val="ReferenceEntry"/>
        <w:numPr>
          <w:ilvl w:val="0"/>
          <w:numId w:val="1003"/>
        </w:numPr>
        <w:jc w:val="left"/>
        <w:keepNext w:val="0"/>
        <w:keepLines w:val="0"/>
        <w:widowControl w:val="1"/>
      </w:pPr>
      <w:bookmarkStart w:id="161" w:name="ref-huang2021applying"/>
      <w:r>
        <w:t xml:space="preserve">Huang, X. et al. (2021). Applying Machine Learning to Balance Performance and Stability of High Energy Density Materials.</w:t>
      </w:r>
      <w:r>
        <w:t xml:space="preserve"> </w:t>
      </w:r>
      <w:r>
        <w:rPr>
          <w:i/>
          <w:iCs/>
        </w:rPr>
        <w:t xml:space="preserve">iScience 24</w:t>
      </w:r>
      <w:r>
        <w:t xml:space="preserve">:102803.</w:t>
      </w:r>
      <w:bookmarkEnd w:id="161"/>
    </w:p>
    <w:p>
      <w:pPr>
        <w:pStyle w:val="ReferenceEntry"/>
        <w:numPr>
          <w:ilvl w:val="0"/>
          <w:numId w:val="1003"/>
        </w:numPr>
        <w:jc w:val="left"/>
        <w:keepNext w:val="0"/>
        <w:keepLines w:val="0"/>
        <w:widowControl w:val="1"/>
      </w:pPr>
      <w:bookmarkStart w:id="162" w:name="ref-herve2010"/>
      <w:r>
        <w:t xml:space="preserve">Hervé, G., Roussel, C., &amp; Graindorge, H. (2010). Selective Preparation of 3,4,5-Trinitro-1H-pyrazole: A Stable All-Carbon-Substituted Trinitro Heterocycle, and Related Trinitroisoxazole Chemistry.</w:t>
      </w:r>
      <w:r>
        <w:t xml:space="preserve"> </w:t>
      </w:r>
      <w:r>
        <w:rPr>
          <w:i/>
          <w:iCs/>
        </w:rPr>
        <w:t xml:space="preserve">Angew. Chem. Int. Ed. 49(18)</w:t>
      </w:r>
      <w:r>
        <w:t xml:space="preserve">:3177–3181. doi:10.1002/anie.200907241.</w:t>
      </w:r>
      <w:bookmarkEnd w:id="162"/>
    </w:p>
    <w:p>
      <w:pPr>
        <w:pStyle w:val="ReferenceEntry"/>
        <w:numPr>
          <w:ilvl w:val="0"/>
          <w:numId w:val="1003"/>
        </w:numPr>
        <w:jc w:val="left"/>
        <w:keepNext w:val="0"/>
        <w:keepLines w:val="0"/>
        <w:widowControl w:val="1"/>
      </w:pPr>
      <w:bookmarkStart w:id="163" w:name="ref-sabatini2018"/>
      <w:r>
        <w:t xml:space="preserve">Sabatini, J. J. (2018). A Review of Nitroisoxazole-Based Energetic Compounds.</w:t>
      </w:r>
      <w:r>
        <w:t xml:space="preserve"> </w:t>
      </w:r>
      <w:r>
        <w:rPr>
          <w:i/>
          <w:iCs/>
        </w:rPr>
        <w:t xml:space="preserve">Propellants, Explosives, Pyrotechnics 43(1)</w:t>
      </w:r>
      <w:r>
        <w:t xml:space="preserve">:28–37. doi:10.1002/prep.201700225.</w:t>
      </w:r>
      <w:bookmarkEnd w:id="163"/>
    </w:p>
    <w:p>
      <w:pPr>
        <w:pStyle w:val="ReferenceEntry"/>
        <w:numPr>
          <w:ilvl w:val="0"/>
          <w:numId w:val="1003"/>
        </w:numPr>
        <w:jc w:val="left"/>
        <w:keepNext w:val="0"/>
        <w:keepLines w:val="0"/>
        <w:widowControl w:val="1"/>
      </w:pPr>
      <w:bookmarkStart w:id="164" w:name="ref-tang2017"/>
      <w:r>
        <w:t xml:space="preserve">Tang, Y., Mitchell, L. A., Imler, G. H., Parrish, D. A., &amp; Shreeve, J. M. (2017). Ammonium and hydrazinium salts of an aza-trinitromethane with energetic isoxazole substituents.</w:t>
      </w:r>
      <w:r>
        <w:t xml:space="preserve"> </w:t>
      </w:r>
      <w:r>
        <w:rPr>
          <w:i/>
          <w:iCs/>
        </w:rPr>
        <w:t xml:space="preserve">J. Mater. Chem. A 5</w:t>
      </w:r>
      <w:r>
        <w:t xml:space="preserve">:23533–23537. doi:10.1039/C7TA08571K.</w:t>
      </w:r>
      <w:bookmarkEnd w:id="164"/>
    </w:p>
    <w:p>
      <w:pPr>
        <w:pStyle w:val="ReferenceEntry"/>
        <w:numPr>
          <w:ilvl w:val="0"/>
          <w:numId w:val="1003"/>
        </w:numPr>
        <w:jc w:val="left"/>
        <w:keepNext w:val="0"/>
        <w:keepLines w:val="0"/>
        <w:widowControl w:val="1"/>
      </w:pPr>
      <w:bookmarkStart w:id="165" w:name="ref-ho2022cfg"/>
      <w:r>
        <w:t xml:space="preserve">Ho, J., &amp; Salimans, T. (2022). Classifier-Free Diffusion Guidance. arXiv:2207.12598.</w:t>
      </w:r>
      <w:bookmarkEnd w:id="165"/>
    </w:p>
    <w:p>
      <w:pPr>
        <w:pStyle w:val="ReferenceEntry"/>
        <w:numPr>
          <w:ilvl w:val="0"/>
          <w:numId w:val="1003"/>
        </w:numPr>
        <w:jc w:val="left"/>
        <w:keepNext w:val="0"/>
        <w:keepLines w:val="0"/>
        <w:widowControl w:val="1"/>
      </w:pPr>
      <w:bookmarkStart w:id="166" w:name="ref-dhariwal2021diffusion"/>
      <w:r>
        <w:t xml:space="preserve">Dhariwal, P., &amp; Nichol, A. (2021). Diffusion Models Beat GANs on Image Synthesis.</w:t>
      </w:r>
      <w:r>
        <w:t xml:space="preserve"> </w:t>
      </w:r>
      <w:r>
        <w:rPr>
          <w:i/>
          <w:iCs/>
        </w:rPr>
        <w:t xml:space="preserve">NeurIPS 2021</w:t>
      </w:r>
      <w:r>
        <w:t xml:space="preserve">. arXiv:2105.05233.</w:t>
      </w:r>
      <w:bookmarkEnd w:id="166"/>
    </w:p>
    <w:p>
      <w:pPr>
        <w:pStyle w:val="ReferenceEntry"/>
        <w:numPr>
          <w:ilvl w:val="0"/>
          <w:numId w:val="1003"/>
        </w:numPr>
        <w:jc w:val="left"/>
        <w:keepNext w:val="0"/>
        <w:keepLines w:val="0"/>
        <w:widowControl w:val="1"/>
      </w:pPr>
      <w:bookmarkStart w:id="167" w:name="ref-song2019score"/>
      <w:r>
        <w:t xml:space="preserve">Song, Y., &amp; Ermon, S. (2019). Generative Modeling by Estimating Gradients of the Data Distribution.</w:t>
      </w:r>
      <w:r>
        <w:t xml:space="preserve"> </w:t>
      </w:r>
      <w:r>
        <w:rPr>
          <w:i/>
          <w:iCs/>
        </w:rPr>
        <w:t xml:space="preserve">NeurIPS 2019</w:t>
      </w:r>
      <w:r>
        <w:t xml:space="preserve">. arXiv:1907.05600.</w:t>
      </w:r>
      <w:bookmarkEnd w:id="167"/>
    </w:p>
    <w:p>
      <w:pPr>
        <w:pStyle w:val="ReferenceEntry"/>
        <w:numPr>
          <w:ilvl w:val="0"/>
          <w:numId w:val="1003"/>
        </w:numPr>
        <w:jc w:val="left"/>
        <w:keepNext w:val="0"/>
        <w:keepLines w:val="0"/>
        <w:widowControl w:val="1"/>
      </w:pPr>
      <w:bookmarkStart w:id="168" w:name="ref-song2021sde"/>
      <w:r>
        <w:t xml:space="preserve">Song, Y. et al. (2021). Score-Based Generative Modeling through Stochastic Differential Equations.</w:t>
      </w:r>
      <w:r>
        <w:t xml:space="preserve"> </w:t>
      </w:r>
      <w:r>
        <w:rPr>
          <w:i/>
          <w:iCs/>
        </w:rPr>
        <w:t xml:space="preserve">ICLR 2021</w:t>
      </w:r>
      <w:r>
        <w:t xml:space="preserve">. arXiv:2011.13456.</w:t>
      </w:r>
      <w:bookmarkEnd w:id="168"/>
    </w:p>
    <w:p>
      <w:pPr>
        <w:pStyle w:val="ReferenceEntry"/>
        <w:numPr>
          <w:ilvl w:val="0"/>
          <w:numId w:val="1003"/>
        </w:numPr>
        <w:jc w:val="left"/>
        <w:keepNext w:val="0"/>
        <w:keepLines w:val="0"/>
        <w:widowControl w:val="1"/>
      </w:pPr>
      <w:bookmarkStart w:id="169" w:name="ref-ho2020ddpm"/>
      <w:r>
        <w:t xml:space="preserve">Ho, J., Jain, A., &amp; Abbeel, P. (2020). Denoising Diffusion Probabilistic Models.</w:t>
      </w:r>
      <w:r>
        <w:t xml:space="preserve"> </w:t>
      </w:r>
      <w:r>
        <w:rPr>
          <w:i/>
          <w:iCs/>
        </w:rPr>
        <w:t xml:space="preserve">NeurIPS 2020</w:t>
      </w:r>
      <w:r>
        <w:t xml:space="preserve">. arXiv:2006.11239.</w:t>
      </w:r>
      <w:bookmarkEnd w:id="169"/>
    </w:p>
    <w:p>
      <w:pPr>
        <w:pStyle w:val="ReferenceEntry"/>
        <w:numPr>
          <w:ilvl w:val="0"/>
          <w:numId w:val="1003"/>
        </w:numPr>
        <w:jc w:val="left"/>
        <w:keepNext w:val="0"/>
        <w:keepLines w:val="0"/>
        <w:widowControl w:val="1"/>
      </w:pPr>
      <w:bookmarkStart w:id="170" w:name="ref-rombach2022ldm"/>
      <w:r>
        <w:t xml:space="preserve">Rombach, R., Blattmann, A., Lorenz, D., Esser, P., &amp; Ommer, B. (2022). High-Resolution Image Synthesis with Latent Diffusion Models.</w:t>
      </w:r>
      <w:r>
        <w:t xml:space="preserve"> </w:t>
      </w:r>
      <w:r>
        <w:rPr>
          <w:i/>
          <w:iCs/>
        </w:rPr>
        <w:t xml:space="preserve">CVPR 2022</w:t>
      </w:r>
      <w:r>
        <w:t xml:space="preserve">. arXiv:2112.10752.</w:t>
      </w:r>
      <w:bookmarkEnd w:id="170"/>
    </w:p>
    <w:p>
      <w:pPr>
        <w:pStyle w:val="ReferenceEntry"/>
        <w:numPr>
          <w:ilvl w:val="0"/>
          <w:numId w:val="1003"/>
        </w:numPr>
        <w:jc w:val="left"/>
        <w:keepNext w:val="0"/>
        <w:keepLines w:val="0"/>
        <w:widowControl w:val="1"/>
      </w:pPr>
      <w:bookmarkStart w:id="171" w:name="ref-krenn2020selfies"/>
      <w:r>
        <w:t xml:space="preserve">Krenn, M., Häse, F., Nigam, A., Friederich, P., &amp; Aspuru-Guzik, A. (2020). Self-Referencing Embedded Strings (SELFIES): A 100% Robust Molecular String Representation.</w:t>
      </w:r>
      <w:r>
        <w:t xml:space="preserve"> </w:t>
      </w:r>
      <w:r>
        <w:rPr>
          <w:i/>
          <w:iCs/>
        </w:rPr>
        <w:t xml:space="preserve">Mach. Learn.: Sci. Tech. 1</w:t>
      </w:r>
      <w:r>
        <w:t xml:space="preserve">:045024.</w:t>
      </w:r>
      <w:bookmarkEnd w:id="171"/>
    </w:p>
    <w:p>
      <w:pPr>
        <w:pStyle w:val="ReferenceEntry"/>
        <w:numPr>
          <w:ilvl w:val="0"/>
          <w:numId w:val="1003"/>
        </w:numPr>
        <w:jc w:val="left"/>
        <w:keepNext w:val="0"/>
        <w:keepLines w:val="0"/>
        <w:widowControl w:val="1"/>
      </w:pPr>
      <w:bookmarkStart w:id="172" w:name="ref-ertl2009sa"/>
      <w:r>
        <w:t xml:space="preserve">Ertl, P., &amp; Schuffenhauer, A. (2009). Estimation of Synthetic Accessibility Score of Drug-Like Molecules Based on Molecular Complexity and Fragment Contributions.</w:t>
      </w:r>
      <w:r>
        <w:t xml:space="preserve"> </w:t>
      </w:r>
      <w:r>
        <w:rPr>
          <w:i/>
          <w:iCs/>
        </w:rPr>
        <w:t xml:space="preserve">J. Cheminform. 1</w:t>
      </w:r>
      <w:r>
        <w:t xml:space="preserve">:8.</w:t>
      </w:r>
      <w:bookmarkEnd w:id="172"/>
    </w:p>
    <w:p>
      <w:pPr>
        <w:pStyle w:val="ReferenceEntry"/>
        <w:numPr>
          <w:ilvl w:val="0"/>
          <w:numId w:val="1003"/>
        </w:numPr>
        <w:jc w:val="left"/>
        <w:keepNext w:val="0"/>
        <w:keepLines w:val="0"/>
        <w:widowControl w:val="1"/>
      </w:pPr>
      <w:bookmarkStart w:id="173" w:name="ref-coley2018scscore"/>
      <w:r>
        <w:t xml:space="preserve">Coley, C. W., Rogers, L., Green, W. H., &amp; Jensen, K. F. (2018). SCScore: Synthetic Complexity Learned from a Reaction Corpus.</w:t>
      </w:r>
      <w:r>
        <w:t xml:space="preserve"> </w:t>
      </w:r>
      <w:r>
        <w:rPr>
          <w:i/>
          <w:iCs/>
        </w:rPr>
        <w:t xml:space="preserve">J. Chem. Inf. Model. 58(2)</w:t>
      </w:r>
      <w:r>
        <w:t xml:space="preserve">:252–261.</w:t>
      </w:r>
      <w:bookmarkEnd w:id="173"/>
    </w:p>
    <w:p>
      <w:pPr>
        <w:pStyle w:val="ReferenceEntry"/>
        <w:numPr>
          <w:ilvl w:val="0"/>
          <w:numId w:val="1003"/>
        </w:numPr>
        <w:jc w:val="left"/>
        <w:keepNext w:val="0"/>
        <w:keepLines w:val="0"/>
        <w:widowControl w:val="1"/>
      </w:pPr>
      <w:bookmarkStart w:id="174" w:name="ref-rogers1960computer"/>
      <w:r>
        <w:t xml:space="preserve">Rogers, D. J., &amp; Tanimoto, T. T. (1960). A Computer Program for Classifying Plants.</w:t>
      </w:r>
      <w:r>
        <w:t xml:space="preserve"> </w:t>
      </w:r>
      <w:r>
        <w:rPr>
          <w:i/>
          <w:iCs/>
        </w:rPr>
        <w:t xml:space="preserve">Science 132(3434)</w:t>
      </w:r>
      <w:r>
        <w:t xml:space="preserve">:1115–1118.</w:t>
      </w:r>
      <w:bookmarkEnd w:id="174"/>
    </w:p>
    <w:p>
      <w:pPr>
        <w:pStyle w:val="ReferenceEntry"/>
        <w:numPr>
          <w:ilvl w:val="0"/>
          <w:numId w:val="1003"/>
        </w:numPr>
        <w:jc w:val="left"/>
        <w:keepNext w:val="0"/>
        <w:keepLines w:val="0"/>
        <w:widowControl w:val="1"/>
      </w:pPr>
      <w:bookmarkStart w:id="176" w:name="ref-landrum2024rdkit"/>
      <w:r>
        <w:t xml:space="preserve">Landrum, G., &amp; contributors. RDKit: Open-source cheminformatics.</w:t>
      </w:r>
      <w:r>
        <w:t xml:space="preserve"> </w:t>
      </w:r>
      <w:hyperlink r:id="rId175">
        <w:r>
          <w:rPr>
            <w:rStyle w:val="Hyperlink"/>
          </w:rPr>
          <w:t xml:space="preserve">rdkit.org</w:t>
        </w:r>
      </w:hyperlink>
      <w:r>
        <w:t xml:space="preserve">.</w:t>
      </w:r>
      <w:bookmarkEnd w:id="176"/>
    </w:p>
    <w:p>
      <w:pPr>
        <w:pStyle w:val="ReferenceEntry"/>
        <w:numPr>
          <w:ilvl w:val="0"/>
          <w:numId w:val="1003"/>
        </w:numPr>
        <w:jc w:val="left"/>
        <w:keepNext w:val="0"/>
        <w:keepLines w:val="0"/>
        <w:widowControl w:val="1"/>
      </w:pPr>
      <w:bookmarkStart w:id="177" w:name="ref-sterling2015zinc"/>
      <w:r>
        <w:t xml:space="preserve">Sterling, T., &amp; Irwin, J. J. (2015). ZINC 15: Ligand Discovery for Everyone.</w:t>
      </w:r>
      <w:r>
        <w:t xml:space="preserve"> </w:t>
      </w:r>
      <w:r>
        <w:rPr>
          <w:i/>
          <w:iCs/>
        </w:rPr>
        <w:t xml:space="preserve">J. Chem. Inf. Model. 55(11)</w:t>
      </w:r>
      <w:r>
        <w:t xml:space="preserve">:2324–2337.</w:t>
      </w:r>
      <w:bookmarkEnd w:id="177"/>
    </w:p>
    <w:p>
      <w:pPr>
        <w:pStyle w:val="ReferenceEntry"/>
        <w:numPr>
          <w:ilvl w:val="0"/>
          <w:numId w:val="1003"/>
        </w:numPr>
        <w:jc w:val="left"/>
        <w:keepNext w:val="0"/>
        <w:keepLines w:val="0"/>
        <w:widowControl w:val="1"/>
      </w:pPr>
      <w:bookmarkStart w:id="178" w:name="ref-kim2023pubchem"/>
      <w:r>
        <w:t xml:space="preserve">Kim, S. et al. (2023). PubChem 2023 Update.</w:t>
      </w:r>
      <w:r>
        <w:t xml:space="preserve"> </w:t>
      </w:r>
      <w:r>
        <w:rPr>
          <w:i/>
          <w:iCs/>
        </w:rPr>
        <w:t xml:space="preserve">Nucleic Acids Res. 51(D1)</w:t>
      </w:r>
      <w:r>
        <w:t xml:space="preserve">:D1373–D1380.</w:t>
      </w:r>
      <w:bookmarkEnd w:id="178"/>
    </w:p>
    <w:p>
      <w:pPr>
        <w:pStyle w:val="ReferenceEntry"/>
        <w:numPr>
          <w:ilvl w:val="0"/>
          <w:numId w:val="1003"/>
        </w:numPr>
        <w:jc w:val="left"/>
        <w:keepNext w:val="0"/>
        <w:keepLines w:val="0"/>
        <w:widowControl w:val="1"/>
      </w:pPr>
      <w:bookmarkStart w:id="179" w:name="ref-jaegle2021perceiver"/>
      <w:r>
        <w:t xml:space="preserve">Jaegle, A. et al. (2021). Perceiver: General Perception with Iterative Attention.</w:t>
      </w:r>
      <w:r>
        <w:t xml:space="preserve"> </w:t>
      </w:r>
      <w:r>
        <w:rPr>
          <w:i/>
          <w:iCs/>
        </w:rPr>
        <w:t xml:space="preserve">ICML 2021</w:t>
      </w:r>
      <w:r>
        <w:t xml:space="preserve">. arXiv:2103.03206.</w:t>
      </w:r>
      <w:bookmarkEnd w:id="179"/>
    </w:p>
    <w:p>
      <w:pPr>
        <w:pStyle w:val="ReferenceEntry"/>
        <w:numPr>
          <w:ilvl w:val="0"/>
          <w:numId w:val="1003"/>
        </w:numPr>
        <w:jc w:val="left"/>
        <w:keepNext w:val="0"/>
        <w:keepLines w:val="0"/>
        <w:widowControl w:val="1"/>
      </w:pPr>
      <w:bookmarkStart w:id="180" w:name="ref-olivecrona2017reinvent"/>
      <w:r>
        <w:t xml:space="preserve">Olivecrona, M., Blaschke, T., Engkvist, O., &amp; Chen, H. (2017). Molecular de-novo design through deep reinforcement learning.</w:t>
      </w:r>
      <w:r>
        <w:t xml:space="preserve"> </w:t>
      </w:r>
      <w:r>
        <w:rPr>
          <w:i/>
          <w:iCs/>
        </w:rPr>
        <w:t xml:space="preserve">J. Cheminformatics 9</w:t>
      </w:r>
      <w:r>
        <w:t xml:space="preserve">:48. doi:10.1186/s13321-017-0235-x.</w:t>
      </w:r>
      <w:bookmarkEnd w:id="180"/>
    </w:p>
    <w:p>
      <w:pPr>
        <w:pStyle w:val="ReferenceEntry"/>
        <w:numPr>
          <w:ilvl w:val="0"/>
          <w:numId w:val="1003"/>
        </w:numPr>
        <w:jc w:val="left"/>
        <w:keepNext w:val="0"/>
        <w:keepLines w:val="0"/>
        <w:widowControl w:val="1"/>
      </w:pPr>
      <w:bookmarkStart w:id="181" w:name="ref-loeffler2024reinvent4"/>
      <w:r>
        <w:t xml:space="preserve">Loeffler, H. H., He, J., Tibo, A., Janet, J. P., Voronov, A., Mervin, L. H., &amp; Engkvist, O. (2024). REINVENT 4: Modern AI-driven generative molecule design.</w:t>
      </w:r>
      <w:r>
        <w:t xml:space="preserve"> </w:t>
      </w:r>
      <w:r>
        <w:rPr>
          <w:i/>
          <w:iCs/>
        </w:rPr>
        <w:t xml:space="preserve">J. Cheminformatics 16</w:t>
      </w:r>
      <w:r>
        <w:t xml:space="preserve">:20. doi:10.1186/s13321-024-00812-5.</w:t>
      </w:r>
      <w:bookmarkEnd w:id="181"/>
    </w:p>
    <w:p>
      <w:pPr>
        <w:pStyle w:val="ReferenceEntry"/>
        <w:numPr>
          <w:ilvl w:val="0"/>
          <w:numId w:val="1003"/>
        </w:numPr>
        <w:jc w:val="left"/>
        <w:keepNext w:val="0"/>
        <w:keepLines w:val="0"/>
        <w:widowControl w:val="1"/>
      </w:pPr>
      <w:bookmarkStart w:id="182" w:name="ref-yang2017chemts"/>
      <w:r>
        <w:t xml:space="preserve">Yang, X., Zhang, J., Yoshizoe, K., Terayama, K., &amp; Tsuda, K. (2017). ChemTS: An efficient python library for de novo molecular generation.</w:t>
      </w:r>
      <w:r>
        <w:t xml:space="preserve"> </w:t>
      </w:r>
      <w:r>
        <w:rPr>
          <w:i/>
          <w:iCs/>
        </w:rPr>
        <w:t xml:space="preserve">Sci. Tech. Adv. Mater. 18(1)</w:t>
      </w:r>
      <w:r>
        <w:t xml:space="preserve">:972–976. doi:10.1080/14686996.2017.1401424.</w:t>
      </w:r>
      <w:bookmarkEnd w:id="182"/>
    </w:p>
    <w:p>
      <w:pPr>
        <w:pStyle w:val="ReferenceEntry"/>
        <w:numPr>
          <w:ilvl w:val="0"/>
          <w:numId w:val="1003"/>
        </w:numPr>
        <w:jc w:val="left"/>
        <w:keepNext w:val="0"/>
        <w:keepLines w:val="0"/>
        <w:widowControl w:val="1"/>
      </w:pPr>
      <w:bookmarkStart w:id="183" w:name="ref-bagal2022molgpt"/>
      <w:r>
        <w:t xml:space="preserve">Bagal, V., Aggarwal, R., Vinod, P. K., &amp; Priyakumar, U. D. (2022). MolGPT: Molecular Generation Using a Transformer-Decoder Model.</w:t>
      </w:r>
      <w:r>
        <w:t xml:space="preserve"> </w:t>
      </w:r>
      <w:r>
        <w:rPr>
          <w:i/>
          <w:iCs/>
        </w:rPr>
        <w:t xml:space="preserve">J. Chem. Inf. Model. 62(9)</w:t>
      </w:r>
      <w:r>
        <w:t xml:space="preserve">:2064–2076. doi:10.1021/acs.jcim.1c00600.</w:t>
      </w:r>
      <w:bookmarkEnd w:id="183"/>
    </w:p>
    <w:p>
      <w:pPr>
        <w:pStyle w:val="ReferenceEntry"/>
        <w:numPr>
          <w:ilvl w:val="0"/>
          <w:numId w:val="1003"/>
        </w:numPr>
        <w:jc w:val="left"/>
        <w:keepNext w:val="0"/>
        <w:keepLines w:val="0"/>
        <w:widowControl w:val="1"/>
      </w:pPr>
      <w:bookmarkStart w:id="184" w:name="ref-winter2019cddd"/>
      <w:r>
        <w:t xml:space="preserve">Winter, R., Montanari, F., Noé, F., &amp; Clevert, D.-A. (2019). Learning continuous and data-driven molecular descriptors by translating equivalent chemical representations.</w:t>
      </w:r>
      <w:r>
        <w:t xml:space="preserve"> </w:t>
      </w:r>
      <w:r>
        <w:rPr>
          <w:i/>
          <w:iCs/>
        </w:rPr>
        <w:t xml:space="preserve">Chem. Sci. 10(6)</w:t>
      </w:r>
      <w:r>
        <w:t xml:space="preserve">:1692–1701. doi:10.1039/C8SC04175J.</w:t>
      </w:r>
      <w:bookmarkEnd w:id="184"/>
    </w:p>
    <w:p>
      <w:pPr>
        <w:pStyle w:val="ReferenceEntry"/>
        <w:numPr>
          <w:ilvl w:val="0"/>
          <w:numId w:val="1003"/>
        </w:numPr>
        <w:jc w:val="left"/>
        <w:keepNext w:val="0"/>
        <w:keepLines w:val="0"/>
        <w:widowControl w:val="1"/>
      </w:pPr>
      <w:bookmarkStart w:id="185" w:name="ref-maziarka2020molcyclegan"/>
      <w:r>
        <w:t xml:space="preserve">Maziarka, Ł., Pocha, A., Kaczmarczyk, J., Rataj, K., Danel, T., &amp; Warchoł, M. (2020). Mol-CycleGAN: a generative model for molecular optimization.</w:t>
      </w:r>
      <w:r>
        <w:t xml:space="preserve"> </w:t>
      </w:r>
      <w:r>
        <w:rPr>
          <w:i/>
          <w:iCs/>
        </w:rPr>
        <w:t xml:space="preserve">J. Cheminformatics 12</w:t>
      </w:r>
      <w:r>
        <w:t xml:space="preserve">:2. doi:10.1186/s13321-019-0404-1.</w:t>
      </w:r>
      <w:bookmarkEnd w:id="185"/>
    </w:p>
    <w:p>
      <w:pPr>
        <w:pStyle w:val="ReferenceEntry"/>
        <w:numPr>
          <w:ilvl w:val="0"/>
          <w:numId w:val="1003"/>
        </w:numPr>
        <w:jc w:val="left"/>
        <w:keepNext w:val="0"/>
        <w:keepLines w:val="0"/>
        <w:widowControl w:val="1"/>
      </w:pPr>
      <w:bookmarkStart w:id="186" w:name="ref-schneuing2022diffsbdd"/>
      <w:r>
        <w:t xml:space="preserve">Schneuing, A. et al. (2022). Structure-based Drug Design with Equivariant Diffusion Models.</w:t>
      </w:r>
      <w:r>
        <w:t xml:space="preserve"> </w:t>
      </w:r>
      <w:r>
        <w:rPr>
          <w:i/>
          <w:iCs/>
        </w:rPr>
        <w:t xml:space="preserve">NeurIPS 2022 AI4Science Workshop</w:t>
      </w:r>
      <w:r>
        <w:t xml:space="preserve">. arXiv:2210.13695.</w:t>
      </w:r>
      <w:bookmarkEnd w:id="186"/>
    </w:p>
    <w:p>
      <w:pPr>
        <w:pStyle w:val="ReferenceEntry"/>
        <w:numPr>
          <w:ilvl w:val="0"/>
          <w:numId w:val="1003"/>
        </w:numPr>
        <w:jc w:val="left"/>
        <w:keepNext w:val="0"/>
        <w:keepLines w:val="0"/>
        <w:widowControl w:val="1"/>
      </w:pPr>
      <w:bookmarkStart w:id="187" w:name="ref-guan2023targetdiff"/>
      <w:r>
        <w:t xml:space="preserve">Guan, J. et al. (2023). 3D Equivariant Diffusion for Target-Aware Molecule Generation and Affinity Prediction.</w:t>
      </w:r>
      <w:r>
        <w:t xml:space="preserve"> </w:t>
      </w:r>
      <w:r>
        <w:rPr>
          <w:i/>
          <w:iCs/>
        </w:rPr>
        <w:t xml:space="preserve">ICLR 2023</w:t>
      </w:r>
      <w:r>
        <w:t xml:space="preserve">. arXiv:2303.03543.</w:t>
      </w:r>
      <w:bookmarkEnd w:id="187"/>
    </w:p>
    <w:p>
      <w:pPr>
        <w:pStyle w:val="ReferenceEntry"/>
        <w:numPr>
          <w:ilvl w:val="0"/>
          <w:numId w:val="1003"/>
        </w:numPr>
        <w:jc w:val="left"/>
        <w:keepNext w:val="0"/>
        <w:keepLines w:val="0"/>
        <w:widowControl w:val="1"/>
      </w:pPr>
      <w:bookmarkStart w:id="188" w:name="ref-corso2023diffdock"/>
      <w:r>
        <w:t xml:space="preserve">Corso, G., Stärk, H., Jing, B., Barzilay, R., &amp; Jaakkola, T. (2023). DiffDock: Diffusion Steps, Twists, and Turns for Molecular Docking.</w:t>
      </w:r>
      <w:r>
        <w:t xml:space="preserve"> </w:t>
      </w:r>
      <w:r>
        <w:rPr>
          <w:i/>
          <w:iCs/>
        </w:rPr>
        <w:t xml:space="preserve">ICLR 2023</w:t>
      </w:r>
      <w:r>
        <w:t xml:space="preserve">. arXiv:2210.01776.</w:t>
      </w:r>
      <w:bookmarkEnd w:id="188"/>
    </w:p>
    <w:p>
      <w:pPr>
        <w:pStyle w:val="ReferenceEntry"/>
        <w:numPr>
          <w:ilvl w:val="0"/>
          <w:numId w:val="1003"/>
        </w:numPr>
        <w:jc w:val="left"/>
        <w:keepNext w:val="0"/>
        <w:keepLines w:val="0"/>
        <w:widowControl w:val="1"/>
      </w:pPr>
      <w:bookmarkStart w:id="189" w:name="ref-peng2022pocket2mol"/>
      <w:r>
        <w:t xml:space="preserve">Peng, X., Luo, S., Guan, J., Xie, Q., Peng, J., &amp; Ma, J. (2022). Pocket2Mol: Efficient Molecular Sampling Based on 3D Protein Pockets.</w:t>
      </w:r>
      <w:r>
        <w:t xml:space="preserve"> </w:t>
      </w:r>
      <w:r>
        <w:rPr>
          <w:i/>
          <w:iCs/>
        </w:rPr>
        <w:t xml:space="preserve">ICML 2022</w:t>
      </w:r>
      <w:r>
        <w:t xml:space="preserve">. arXiv:2205.07249.</w:t>
      </w:r>
      <w:bookmarkEnd w:id="189"/>
    </w:p>
    <w:p>
      <w:pPr>
        <w:pStyle w:val="ReferenceEntry"/>
        <w:numPr>
          <w:ilvl w:val="0"/>
          <w:numId w:val="1003"/>
        </w:numPr>
        <w:jc w:val="left"/>
        <w:keepNext w:val="0"/>
        <w:keepLines w:val="0"/>
        <w:widowControl w:val="1"/>
      </w:pPr>
      <w:bookmarkStart w:id="190" w:name="ref-nefati1996ann"/>
      <w:r>
        <w:t xml:space="preserve">Nefati, H., Cense, J.-M., &amp; Legendre, J.-J. (1996). Prediction of the Impact Sensitivity by Neural Networks.</w:t>
      </w:r>
      <w:r>
        <w:t xml:space="preserve"> </w:t>
      </w:r>
      <w:r>
        <w:rPr>
          <w:i/>
          <w:iCs/>
        </w:rPr>
        <w:t xml:space="preserve">J. Chem. Inf. Comput. Sci. 36(4)</w:t>
      </w:r>
      <w:r>
        <w:t xml:space="preserve">:804–810. doi:10.1021/ci950223m.</w:t>
      </w:r>
      <w:bookmarkEnd w:id="190"/>
    </w:p>
    <w:p>
      <w:pPr>
        <w:pStyle w:val="ReferenceEntry"/>
        <w:numPr>
          <w:ilvl w:val="0"/>
          <w:numId w:val="1003"/>
        </w:numPr>
        <w:jc w:val="left"/>
        <w:keepNext w:val="0"/>
        <w:keepLines w:val="0"/>
        <w:widowControl w:val="1"/>
      </w:pPr>
      <w:bookmarkStart w:id="191" w:name="ref-klapotke2017nitrogen"/>
      <w:r>
        <w:t xml:space="preserve">Klapötke, T. M. (2017). Strategies for the synthesis of energetic, nitrogen-rich heterocycles and their salts.</w:t>
      </w:r>
      <w:r>
        <w:t xml:space="preserve"> </w:t>
      </w:r>
      <w:r>
        <w:rPr>
          <w:i/>
          <w:iCs/>
        </w:rPr>
        <w:t xml:space="preserve">Chem. Mater. 29(5)</w:t>
      </w:r>
      <w:r>
        <w:t xml:space="preserve">:1815–1826. doi:10.1021/acs.chemmater.6b04025.</w:t>
      </w:r>
      <w:bookmarkEnd w:id="191"/>
    </w:p>
    <w:p>
      <w:pPr>
        <w:pStyle w:val="ReferenceEntry"/>
        <w:numPr>
          <w:ilvl w:val="0"/>
          <w:numId w:val="1003"/>
        </w:numPr>
        <w:jc w:val="left"/>
        <w:keepNext w:val="0"/>
        <w:keepLines w:val="0"/>
        <w:widowControl w:val="1"/>
      </w:pPr>
      <w:bookmarkStart w:id="192" w:name="ref-griffiths2020constrained"/>
      <w:r>
        <w:t xml:space="preserve">Griffiths, R.-R., &amp; Hernández-Lobato, J. M. (2020). Constrained Bayesian optimization for automatic chemical design using variational autoencoders.</w:t>
      </w:r>
      <w:r>
        <w:t xml:space="preserve"> </w:t>
      </w:r>
      <w:r>
        <w:rPr>
          <w:i/>
          <w:iCs/>
        </w:rPr>
        <w:t xml:space="preserve">Chem. Sci. 11(2)</w:t>
      </w:r>
      <w:r>
        <w:t xml:space="preserve">:577–586. doi:10.1039/C9SC04026A.</w:t>
      </w:r>
      <w:bookmarkEnd w:id="192"/>
    </w:p>
    <w:p>
      <w:pPr>
        <w:pStyle w:val="ReferenceEntry"/>
        <w:numPr>
          <w:ilvl w:val="0"/>
          <w:numId w:val="1003"/>
        </w:numPr>
        <w:jc w:val="left"/>
        <w:keepNext w:val="0"/>
        <w:keepLines w:val="0"/>
        <w:widowControl w:val="1"/>
      </w:pPr>
      <w:bookmarkStart w:id="193" w:name="ref-yang2019chemprop"/>
      <w:r>
        <w:t xml:space="preserve">Yang, K. et al. (2019). Analyzing Learned Molecular Representations for Property Prediction.</w:t>
      </w:r>
      <w:r>
        <w:t xml:space="preserve"> </w:t>
      </w:r>
      <w:r>
        <w:rPr>
          <w:i/>
          <w:iCs/>
        </w:rPr>
        <w:t xml:space="preserve">J. Chem. Inf. Model. 59(8)</w:t>
      </w:r>
      <w:r>
        <w:t xml:space="preserve">:3370–3388. doi:10.1021/acs.jcim.9b00237.</w:t>
      </w:r>
      <w:bookmarkEnd w:id="193"/>
    </w:p>
    <w:p>
      <w:pPr>
        <w:pStyle w:val="ReferenceEntry"/>
        <w:numPr>
          <w:ilvl w:val="0"/>
          <w:numId w:val="1003"/>
        </w:numPr>
        <w:jc w:val="left"/>
        <w:keepNext w:val="0"/>
        <w:keepLines w:val="0"/>
        <w:widowControl w:val="1"/>
      </w:pPr>
      <w:bookmarkStart w:id="194" w:name="ref-schutt2018schnet"/>
      <w:r>
        <w:t xml:space="preserve">Schütt, K. T., Sauceda, H. E., Kindermans, P.-J., Tkatchenko, A., &amp; Müller, K.-R. (2018). SchNet: A deep learning architecture for molecules and materials.</w:t>
      </w:r>
      <w:r>
        <w:t xml:space="preserve"> </w:t>
      </w:r>
      <w:r>
        <w:rPr>
          <w:i/>
          <w:iCs/>
        </w:rPr>
        <w:t xml:space="preserve">J. Chem. Phys. 148</w:t>
      </w:r>
      <w:r>
        <w:t xml:space="preserve">:241722. doi:10.1063/1.5019779.</w:t>
      </w:r>
      <w:bookmarkEnd w:id="194"/>
    </w:p>
    <w:p>
      <w:pPr>
        <w:pStyle w:val="ReferenceEntry"/>
        <w:numPr>
          <w:ilvl w:val="0"/>
          <w:numId w:val="1003"/>
        </w:numPr>
        <w:jc w:val="left"/>
        <w:keepNext w:val="0"/>
        <w:keepLines w:val="0"/>
        <w:widowControl w:val="1"/>
      </w:pPr>
      <w:bookmarkStart w:id="195" w:name="ref-qiao2020orbnet"/>
      <w:r>
        <w:t xml:space="preserve">Qiao, Z., Welborn, M., Anandkumar, A., Manby, F. R., &amp; Miller III, T. F. (2020). OrbNet: Deep learning for quantum chemistry using symmetry-adapted atomic-orbital features.</w:t>
      </w:r>
      <w:r>
        <w:t xml:space="preserve"> </w:t>
      </w:r>
      <w:r>
        <w:rPr>
          <w:i/>
          <w:iCs/>
        </w:rPr>
        <w:t xml:space="preserve">J. Chem. Phys. 153</w:t>
      </w:r>
      <w:r>
        <w:t xml:space="preserve">:124111. doi:10.1063/5.0021955.</w:t>
      </w:r>
      <w:bookmarkEnd w:id="195"/>
    </w:p>
    <w:p>
      <w:pPr>
        <w:pStyle w:val="ReferenceEntry"/>
        <w:numPr>
          <w:ilvl w:val="0"/>
          <w:numId w:val="1003"/>
        </w:numPr>
        <w:jc w:val="left"/>
        <w:keepNext w:val="0"/>
        <w:keepLines w:val="0"/>
        <w:widowControl w:val="1"/>
      </w:pPr>
      <w:bookmarkStart w:id="196" w:name="ref-brown2019guacamol"/>
      <w:r>
        <w:t xml:space="preserve">Brown, N., Fiscato, M., Segler, M. H. S., &amp; Vaucher, A. C. (2019). GuacaMol: Benchmarking Models for de Novo Molecular Design.</w:t>
      </w:r>
      <w:r>
        <w:t xml:space="preserve"> </w:t>
      </w:r>
      <w:r>
        <w:rPr>
          <w:i/>
          <w:iCs/>
        </w:rPr>
        <w:t xml:space="preserve">J. Chem. Inf. Model. 59(3)</w:t>
      </w:r>
      <w:r>
        <w:t xml:space="preserve">:1096–1108. doi:10.1021/acs.jcim.8b00839.</w:t>
      </w:r>
      <w:bookmarkEnd w:id="196"/>
    </w:p>
    <w:p>
      <w:pPr>
        <w:pStyle w:val="ReferenceEntry"/>
        <w:numPr>
          <w:ilvl w:val="0"/>
          <w:numId w:val="1003"/>
        </w:numPr>
        <w:jc w:val="left"/>
        <w:keepNext w:val="0"/>
        <w:keepLines w:val="0"/>
        <w:widowControl w:val="1"/>
      </w:pPr>
      <w:bookmarkStart w:id="197" w:name="ref-polykovskiy2020moses"/>
      <w:r>
        <w:t xml:space="preserve">Polykovskiy, D. et al. (2020). Molecular Sets (MOSES): A Benchmarking Platform for Molecular Generation Models.</w:t>
      </w:r>
      <w:r>
        <w:t xml:space="preserve"> </w:t>
      </w:r>
      <w:r>
        <w:rPr>
          <w:i/>
          <w:iCs/>
        </w:rPr>
        <w:t xml:space="preserve">Frontiers in Pharmacology 11</w:t>
      </w:r>
      <w:r>
        <w:t xml:space="preserve">:565644. doi:10.3389/fphar.2020.565644.</w:t>
      </w:r>
      <w:bookmarkEnd w:id="197"/>
    </w:p>
    <w:p>
      <w:pPr>
        <w:pStyle w:val="ReferenceEntry"/>
        <w:numPr>
          <w:ilvl w:val="0"/>
          <w:numId w:val="1003"/>
        </w:numPr>
        <w:jc w:val="left"/>
        <w:keepNext w:val="0"/>
        <w:keepLines w:val="0"/>
        <w:widowControl w:val="1"/>
      </w:pPr>
      <w:bookmarkStart w:id="198" w:name="ref-preuer2018fcd"/>
      <w:r>
        <w:t xml:space="preserve">Preuer, K., Renz, P., Unterthiner, T., Hochreiter, S., &amp; Klambauer, G. (2018). Fréchet ChemNet Distance: A Metric for Generative Models for Molecules in Drug Discovery.</w:t>
      </w:r>
      <w:r>
        <w:t xml:space="preserve"> </w:t>
      </w:r>
      <w:r>
        <w:rPr>
          <w:i/>
          <w:iCs/>
        </w:rPr>
        <w:t xml:space="preserve">J. Chem. Inf. Model. 58(9)</w:t>
      </w:r>
      <w:r>
        <w:t xml:space="preserve">:1736–1741.</w:t>
      </w:r>
      <w:bookmarkEnd w:id="198"/>
    </w:p>
    <w:p>
      <w:pPr>
        <w:pStyle w:val="ReferenceEntry"/>
        <w:numPr>
          <w:ilvl w:val="0"/>
          <w:numId w:val="1003"/>
        </w:numPr>
        <w:jc w:val="left"/>
        <w:keepNext w:val="0"/>
        <w:keepLines w:val="0"/>
        <w:widowControl w:val="1"/>
      </w:pPr>
      <w:bookmarkStart w:id="199" w:name="ref-reymond2015gdb"/>
      <w:r>
        <w:t xml:space="preserve">Reymond, J.-L. (2015). The chemical space project.</w:t>
      </w:r>
      <w:r>
        <w:t xml:space="preserve"> </w:t>
      </w:r>
      <w:r>
        <w:rPr>
          <w:i/>
          <w:iCs/>
        </w:rPr>
        <w:t xml:space="preserve">Acc. Chem. Res. 48(3)</w:t>
      </w:r>
      <w:r>
        <w:t xml:space="preserve">:722–730.</w:t>
      </w:r>
      <w:bookmarkEnd w:id="199"/>
    </w:p>
    <w:p>
      <w:pPr>
        <w:pStyle w:val="ReferenceEntry"/>
        <w:numPr>
          <w:ilvl w:val="0"/>
          <w:numId w:val="1003"/>
        </w:numPr>
        <w:jc w:val="left"/>
        <w:keepNext w:val="0"/>
        <w:keepLines w:val="0"/>
        <w:widowControl w:val="1"/>
      </w:pPr>
      <w:bookmarkStart w:id="200" w:name="ref-emdb"/>
      <w:r>
        <w:t xml:space="preserve">Hand-compilation of measured density, heat of formation, and detonation properties for ~3 000 known energetic CHNO compounds, assembled in this work from secondary literature compilations: Klapötke, T. M.</w:t>
      </w:r>
      <w:r>
        <w:t xml:space="preserve"> </w:t>
      </w:r>
      <w:r>
        <w:rPr>
          <w:i/>
          <w:iCs/>
        </w:rPr>
        <w:t xml:space="preserve">Chemistry of High-Energy Materials</w:t>
      </w:r>
      <w:r>
        <w:t xml:space="preserve">, 5th ed. (de Gruyter, 2019); Cooper, P. W.</w:t>
      </w:r>
      <w:r>
        <w:t xml:space="preserve"> </w:t>
      </w:r>
      <w:r>
        <w:rPr>
          <w:i/>
          <w:iCs/>
        </w:rPr>
        <w:t xml:space="preserve">Explosives Engineering</w:t>
      </w:r>
      <w:r>
        <w:t xml:space="preserve"> </w:t>
      </w:r>
      <w:r>
        <w:t xml:space="preserve">(Wiley-VCH, 1996); and Dobratz, B. M. &amp; Crawford, P. C.</w:t>
      </w:r>
      <w:r>
        <w:t xml:space="preserve"> </w:t>
      </w:r>
      <w:r>
        <w:rPr>
          <w:i/>
          <w:iCs/>
        </w:rPr>
        <w:t xml:space="preserve">LLNL Explosives Handbook: Properties of Chemical Explosives and Explosive Simulants</w:t>
      </w:r>
      <w:r>
        <w:t xml:space="preserve">, UCRL-52997, Rev. 2 (Lawrence Livermore National Laboratory, 1985). Per-row provenance documented in Appendix A.1.</w:t>
      </w:r>
      <w:bookmarkEnd w:id="200"/>
    </w:p>
    <w:p>
      <w:pPr>
        <w:pStyle w:val="ReferenceEntry"/>
        <w:numPr>
          <w:ilvl w:val="0"/>
          <w:numId w:val="1003"/>
        </w:numPr>
        <w:jc w:val="left"/>
        <w:keepNext w:val="0"/>
        <w:keepLines w:val="0"/>
        <w:widowControl w:val="1"/>
      </w:pPr>
      <w:bookmarkStart w:id="202" w:name="ref-cameo"/>
      <w:r>
        <w:t xml:space="preserve">NIST CAMEO Chemicals: Database of Hazardous Materials and Reactivity.</w:t>
      </w:r>
      <w:r>
        <w:t xml:space="preserve"> </w:t>
      </w:r>
      <w:hyperlink r:id="rId201">
        <w:r>
          <w:rPr>
            <w:rStyle w:val="Hyperlink"/>
          </w:rPr>
          <w:t xml:space="preserve">cameochemicals.noaa.gov</w:t>
        </w:r>
      </w:hyperlink>
      <w:r>
        <w:t xml:space="preserve">.</w:t>
      </w:r>
      <w:bookmarkEnd w:id="202"/>
    </w:p>
    <w:p>
      <w:pPr>
        <w:pStyle w:val="ReferenceEntry"/>
        <w:numPr>
          <w:ilvl w:val="0"/>
          <w:numId w:val="1003"/>
        </w:numPr>
        <w:jc w:val="left"/>
        <w:keepNext w:val="0"/>
        <w:keepLines w:val="0"/>
        <w:widowControl w:val="1"/>
      </w:pPr>
      <w:bookmarkStart w:id="203" w:name="ref-bruns2020watson"/>
      <w:r>
        <w:t xml:space="preserve">Bruns, H., &amp; Watson, P. (2020). SMARTS-based reactivity demerit catalogues for energetic-materials triage (in-house compilation following the ChemAxon “dangerous reactivity” rule set).</w:t>
      </w:r>
      <w:bookmarkEnd w:id="203"/>
    </w:p>
    <w:p>
      <w:pPr>
        <w:pStyle w:val="ReferenceEntry"/>
        <w:numPr>
          <w:ilvl w:val="0"/>
          <w:numId w:val="1003"/>
        </w:numPr>
        <w:jc w:val="left"/>
        <w:keepNext w:val="0"/>
        <w:keepLines w:val="0"/>
        <w:widowControl w:val="1"/>
      </w:pPr>
      <w:bookmarkStart w:id="204" w:name="ref-bannwarth2019gfn2"/>
      <w:r>
        <w:t xml:space="preserve">Bannwarth, C., Ehlert, S., &amp; Grimme, S. (2019). GFN2-xTB: An Accurate and Broadly Parametrized Self-Consistent Tight-Binding Quantum Chemical Method with Multipole Electrostatics and Density-Dependent Dispersion Contributions.</w:t>
      </w:r>
      <w:r>
        <w:t xml:space="preserve"> </w:t>
      </w:r>
      <w:r>
        <w:rPr>
          <w:i/>
          <w:iCs/>
        </w:rPr>
        <w:t xml:space="preserve">J. Chem. Theory Comput. 15(3)</w:t>
      </w:r>
      <w:r>
        <w:t xml:space="preserve">:1652–1671. doi:10.1021/acs.jctc.8b01176.</w:t>
      </w:r>
      <w:bookmarkEnd w:id="204"/>
    </w:p>
    <w:p>
      <w:pPr>
        <w:pStyle w:val="ReferenceEntry"/>
        <w:numPr>
          <w:ilvl w:val="0"/>
          <w:numId w:val="1003"/>
        </w:numPr>
        <w:jc w:val="left"/>
        <w:keepNext w:val="0"/>
        <w:keepLines w:val="0"/>
        <w:widowControl w:val="1"/>
      </w:pPr>
      <w:bookmarkStart w:id="205" w:name="ref-goerigk2017benchmark"/>
      <w:r>
        <w:t xml:space="preserve">Goerigk, L., Hansen, A., Bauer, C., Ehrlich, S., Najibi, A., &amp; Grimme, S. (2017). A look at the density functional theory zoo with the advanced GMTKN55 database for general main group thermochemistry, kinetics and noncovalent interactions.</w:t>
      </w:r>
      <w:r>
        <w:t xml:space="preserve"> </w:t>
      </w:r>
      <w:r>
        <w:rPr>
          <w:i/>
          <w:iCs/>
        </w:rPr>
        <w:t xml:space="preserve">Phys. Chem. Chem. Phys. 19(48)</w:t>
      </w:r>
      <w:r>
        <w:t xml:space="preserve">:32184–32215. doi:10.1039/C7CP04913G.</w:t>
      </w:r>
      <w:bookmarkEnd w:id="205"/>
    </w:p>
    <w:p>
      <w:pPr>
        <w:pStyle w:val="ReferenceEntry"/>
        <w:numPr>
          <w:ilvl w:val="0"/>
          <w:numId w:val="1003"/>
        </w:numPr>
        <w:jc w:val="left"/>
        <w:keepNext w:val="0"/>
        <w:keepLines w:val="0"/>
        <w:widowControl w:val="1"/>
      </w:pPr>
      <w:bookmarkStart w:id="206" w:name="ref-bondi1964vdw"/>
      <w:r>
        <w:t xml:space="preserve">Bondi, A. (1964). van der Waals Volumes and Radii.</w:t>
      </w:r>
      <w:r>
        <w:t xml:space="preserve"> </w:t>
      </w:r>
      <w:r>
        <w:rPr>
          <w:i/>
          <w:iCs/>
        </w:rPr>
        <w:t xml:space="preserve">J. Phys. Chem. 68(3)</w:t>
      </w:r>
      <w:r>
        <w:t xml:space="preserve">:441–451. doi:10.1021/j100785a001.</w:t>
      </w:r>
      <w:bookmarkEnd w:id="206"/>
    </w:p>
    <w:p>
      <w:pPr>
        <w:pStyle w:val="ReferenceEntry"/>
        <w:numPr>
          <w:ilvl w:val="0"/>
          <w:numId w:val="1003"/>
        </w:numPr>
        <w:jc w:val="left"/>
        <w:keepNext w:val="0"/>
        <w:keepLines w:val="0"/>
        <w:widowControl w:val="1"/>
      </w:pPr>
      <w:bookmarkStart w:id="207" w:name="ref-genheden2020aizynth"/>
      <w:r>
        <w:t xml:space="preserve">Genheden, S., Thakkar, A., Chadimová, V., Reymond, J.-L., Engkvist, O., &amp; Bjerrum, E. J. (2020). AiZynthFinder: a fast, robust and flexible open-source software for retrosynthetic planning.</w:t>
      </w:r>
      <w:r>
        <w:t xml:space="preserve"> </w:t>
      </w:r>
      <w:r>
        <w:rPr>
          <w:i/>
          <w:iCs/>
        </w:rPr>
        <w:t xml:space="preserve">Journal of Cheminformatics 12</w:t>
      </w:r>
      <w:r>
        <w:t xml:space="preserve">:70. doi:10.1186/s13321-020-00472-1.</w:t>
      </w:r>
      <w:bookmarkEnd w:id="207"/>
    </w:p>
    <w:p>
      <w:pPr>
        <w:pStyle w:val="ReferenceEntry"/>
        <w:numPr>
          <w:ilvl w:val="0"/>
          <w:numId w:val="1003"/>
        </w:numPr>
        <w:jc w:val="left"/>
        <w:keepNext w:val="0"/>
        <w:keepLines w:val="0"/>
        <w:widowControl w:val="1"/>
      </w:pPr>
      <w:bookmarkStart w:id="208" w:name="ref-sun2020pyscf"/>
      <w:r>
        <w:t xml:space="preserve">Sun, Q., Zhang, X., Banerjee, S., Bao, P., et al. (2020). Recent developments in the PySCF program package.</w:t>
      </w:r>
      <w:r>
        <w:t xml:space="preserve"> </w:t>
      </w:r>
      <w:r>
        <w:rPr>
          <w:i/>
          <w:iCs/>
        </w:rPr>
        <w:t xml:space="preserve">J. Chem. Phys. 153</w:t>
      </w:r>
      <w:r>
        <w:t xml:space="preserve">:024109. doi:10.1063/5.0006074.</w:t>
      </w:r>
      <w:bookmarkEnd w:id="208"/>
    </w:p>
    <w:p>
      <w:pPr>
        <w:pStyle w:val="ReferenceEntry"/>
        <w:numPr>
          <w:ilvl w:val="0"/>
          <w:numId w:val="1003"/>
        </w:numPr>
        <w:jc w:val="left"/>
        <w:keepNext w:val="0"/>
        <w:keepLines w:val="0"/>
        <w:widowControl w:val="1"/>
      </w:pPr>
      <w:bookmarkStart w:id="209" w:name="ref-perez2018film"/>
      <w:r>
        <w:t xml:space="preserve">Perez, E., Strub, F., de Vries, H., Dumoulin, V., &amp; Courville, A. (2018). FiLM: Visual Reasoning with a General Conditioning Layer.</w:t>
      </w:r>
      <w:r>
        <w:t xml:space="preserve"> </w:t>
      </w:r>
      <w:r>
        <w:rPr>
          <w:i/>
          <w:iCs/>
        </w:rPr>
        <w:t xml:space="preserve">AAAI 2018</w:t>
      </w:r>
      <w:r>
        <w:t xml:space="preserve">. arXiv:1709.07871.</w:t>
      </w:r>
      <w:bookmarkEnd w:id="209"/>
    </w:p>
    <w:p>
      <w:pPr>
        <w:pStyle w:val="ReferenceEntry"/>
        <w:numPr>
          <w:ilvl w:val="0"/>
          <w:numId w:val="1003"/>
        </w:numPr>
        <w:jc w:val="left"/>
        <w:keepNext w:val="0"/>
        <w:keepLines w:val="0"/>
        <w:widowControl w:val="1"/>
      </w:pPr>
      <w:bookmarkStart w:id="210" w:name="ref-xu2023geoldm"/>
      <w:r>
        <w:t xml:space="preserve">Xu, M., Powers, A., Dror, R. O., Ermon, S., &amp; Leskovec, J. (2023). Geometric Latent Diffusion Models for 3D Molecule Generation.</w:t>
      </w:r>
      <w:r>
        <w:t xml:space="preserve"> </w:t>
      </w:r>
      <w:r>
        <w:rPr>
          <w:i/>
          <w:iCs/>
        </w:rPr>
        <w:t xml:space="preserve">ICML 2023</w:t>
      </w:r>
      <w:r>
        <w:t xml:space="preserve">. arXiv:2305.01140.</w:t>
      </w:r>
      <w:bookmarkEnd w:id="210"/>
    </w:p>
    <w:p>
      <w:pPr>
        <w:pStyle w:val="ReferenceEntry"/>
        <w:numPr>
          <w:ilvl w:val="0"/>
          <w:numId w:val="1003"/>
        </w:numPr>
        <w:jc w:val="left"/>
        <w:keepNext w:val="0"/>
        <w:keepLines w:val="0"/>
        <w:widowControl w:val="1"/>
      </w:pPr>
      <w:bookmarkStart w:id="211" w:name="ref-npjcompmat2025"/>
      <w:r>
        <w:t xml:space="preserve">Z. et al. (2025). De novo multi-objective generation framework for energetic materials with trading off energy and stability.</w:t>
      </w:r>
      <w:r>
        <w:t xml:space="preserve"> </w:t>
      </w:r>
      <w:r>
        <w:rPr>
          <w:i/>
          <w:iCs/>
        </w:rPr>
        <w:t xml:space="preserve">npj Computational Materials</w:t>
      </w:r>
      <w:r>
        <w:t xml:space="preserve">. doi:10.1038/s41524-025-01845-6.</w:t>
      </w:r>
      <w:bookmarkEnd w:id="211"/>
    </w:p>
    <w:p>
      <w:pPr>
        <w:pStyle w:val="ReferenceEntry"/>
        <w:numPr>
          <w:ilvl w:val="0"/>
          <w:numId w:val="1003"/>
        </w:numPr>
        <w:jc w:val="left"/>
        <w:keepNext w:val="0"/>
        <w:keepLines w:val="0"/>
        <w:widowControl w:val="1"/>
      </w:pPr>
      <w:bookmarkStart w:id="212" w:name="ref-choi2023prep"/>
      <w:r>
        <w:t xml:space="preserve">Choi, J. B., Nguyen, P. C. H., Sen, O., Udaykumar, H. S., &amp; Baek, S. (2023). Artificial Intelligence Approaches for Energetic Materials by Design: State of the Art, Challenges, and Future Directions.</w:t>
      </w:r>
      <w:r>
        <w:t xml:space="preserve"> </w:t>
      </w:r>
      <w:r>
        <w:rPr>
          <w:i/>
          <w:iCs/>
        </w:rPr>
        <w:t xml:space="preserve">Propellants, Explosives, Pyrotechnics 48(4)</w:t>
      </w:r>
      <w:r>
        <w:t xml:space="preserve">, e202200276. doi:10.1002/prep.202200276.</w:t>
      </w:r>
      <w:bookmarkEnd w:id="212"/>
    </w:p>
    <w:p>
      <w:pPr>
        <w:pStyle w:val="ReferenceEntry"/>
        <w:numPr>
          <w:ilvl w:val="0"/>
          <w:numId w:val="1003"/>
        </w:numPr>
        <w:jc w:val="left"/>
        <w:keepNext w:val="0"/>
        <w:keepLines w:val="0"/>
        <w:widowControl w:val="1"/>
      </w:pPr>
      <w:bookmarkStart w:id="213" w:name="ref-csp-cgd-2023"/>
      <w:r>
        <w:t xml:space="preserve">Arnold, J. E., &amp; Day, G. M. (2023). Crystal Structure Prediction of Energetic Materials.</w:t>
      </w:r>
      <w:r>
        <w:t xml:space="preserve"> </w:t>
      </w:r>
      <w:r>
        <w:rPr>
          <w:i/>
          <w:iCs/>
        </w:rPr>
        <w:t xml:space="preserve">Crystal Growth &amp; Design</w:t>
      </w:r>
      <w:r>
        <w:t xml:space="preserve">. doi:10.1021/acs.cgd.3c00706.</w:t>
      </w:r>
      <w:bookmarkEnd w:id="213"/>
    </w:p>
    <w:p>
      <w:pPr>
        <w:pStyle w:val="ReferenceEntry"/>
        <w:numPr>
          <w:ilvl w:val="0"/>
          <w:numId w:val="1003"/>
        </w:numPr>
        <w:jc w:val="left"/>
        <w:keepNext w:val="0"/>
        <w:keepLines w:val="0"/>
        <w:widowControl w:val="1"/>
      </w:pPr>
      <w:bookmarkStart w:id="214" w:name="ref-mlcrystdens-cm-2024"/>
      <w:r>
        <w:t xml:space="preserve">Davis, J. V., Marrs III, F. W., Cawkwell, M. J., &amp; Manner, V. W. (2024). Machine Learning Models for High Explosive Crystal Density and Performance.</w:t>
      </w:r>
      <w:r>
        <w:t xml:space="preserve"> </w:t>
      </w:r>
      <w:r>
        <w:rPr>
          <w:i/>
          <w:iCs/>
        </w:rPr>
        <w:t xml:space="preserve">Chemistry of Materials 36(22)</w:t>
      </w:r>
      <w:r>
        <w:t xml:space="preserve">, 11109–11118. doi:10.1021/acs.chemmater.4c01978.</w:t>
      </w:r>
      <w:bookmarkEnd w:id="214"/>
    </w:p>
    <w:bookmarkEnd w:id="215"/>
    <w:sectPr w:rsidR="00FC693F" w:rsidRPr="0006063C" w:rsidSect="00034616">
      <w:footerReference w:type="default" r:id="rId9"/>
      <w:pgSz w:h="15840" w:w="12240"/>
      <w:pgMar w:bottom="1440" w:footer="720" w:gutter="0" w:header="720" w:left="1440" w:right="1440" w:top="1440"/>
      <w:lnNumType w:countBy="1" w:start="1" w:restart="continuous" w:distance="360"/>
      <w:cols w:space="720"/>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spacing w:before="0" w:after="0"/>
      <w:jc w:val="center"/>
    </w:pPr>
    <w:r>
      <w:rPr>
        <w:rFonts w:ascii="Times New Roman" w:hAnsi="Times New Roman"/>
        <w:sz w:val="20"/>
      </w:rPr>
      <w:fldChar w:fldCharType="begin"/>
      <w:instrText xml:space="preserve">PAGE</w:instrText>
      <w:fldChar w:fldCharType="separate"/>
      <w:t>1</w:t>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abstractNum w:abstractNumId="0">
    <w:nsid w:val="FFFFFF7C"/>
    <w:multiLevelType w:val="singleLevel"/>
    <w:tmpl w:val="C310EC42"/>
    <w:lvl w:ilvl="0">
      <w:start w:val="1"/>
      <w:numFmt w:val="decimal"/>
      <w:lvlText w:val="%1."/>
      <w:lvlJc w:val="left"/>
      <w:pPr>
        <w:tabs>
          <w:tab w:pos="1800" w:val="num"/>
        </w:tabs>
        <w:ind w:hanging="360" w:left="1800"/>
      </w:pPr>
    </w:lvl>
  </w:abstractNum>
  <w:abstractNum w:abstractNumId="1">
    <w:nsid w:val="FFFFFF7D"/>
    <w:multiLevelType w:val="singleLevel"/>
    <w:tmpl w:val="E4089024"/>
    <w:lvl w:ilvl="0">
      <w:start w:val="1"/>
      <w:numFmt w:val="decimal"/>
      <w:lvlText w:val="%1."/>
      <w:lvlJc w:val="left"/>
      <w:pPr>
        <w:tabs>
          <w:tab w:pos="1440" w:val="num"/>
        </w:tabs>
        <w:ind w:hanging="360" w:left="1440"/>
      </w:pPr>
    </w:lvl>
  </w:abstractNum>
  <w:abstractNum w:abstractNumId="2">
    <w:nsid w:val="FFFFFF7E"/>
    <w:multiLevelType w:val="singleLevel"/>
    <w:tmpl w:val="FB12693A"/>
    <w:lvl w:ilvl="0">
      <w:start w:val="1"/>
      <w:numFmt w:val="decimal"/>
      <w:pStyle w:val="ListNumber3"/>
      <w:lvlText w:val="%1."/>
      <w:lvlJc w:val="left"/>
      <w:pPr>
        <w:tabs>
          <w:tab w:pos="1080" w:val="num"/>
        </w:tabs>
        <w:ind w:hanging="360" w:left="1080"/>
      </w:pPr>
    </w:lvl>
  </w:abstractNum>
  <w:abstractNum w:abstractNumId="3">
    <w:nsid w:val="FFFFFF7F"/>
    <w:multiLevelType w:val="singleLevel"/>
    <w:tmpl w:val="38441652"/>
    <w:lvl w:ilvl="0">
      <w:start w:val="1"/>
      <w:numFmt w:val="decimal"/>
      <w:pStyle w:val="ListNumber2"/>
      <w:lvlText w:val="%1."/>
      <w:lvlJc w:val="left"/>
      <w:pPr>
        <w:tabs>
          <w:tab w:pos="720" w:val="num"/>
        </w:tabs>
        <w:ind w:hanging="360" w:left="720"/>
      </w:pPr>
    </w:lvl>
  </w:abstractNum>
  <w:abstractNum w:abstractNumId="4">
    <w:nsid w:val="FFFFFF81"/>
    <w:multiLevelType w:val="singleLevel"/>
    <w:tmpl w:val="171AC3A4"/>
    <w:lvl w:ilvl="0">
      <w:start w:val="1"/>
      <w:numFmt w:val="bullet"/>
      <w:lvlText w:val=""/>
      <w:lvlJc w:val="left"/>
      <w:pPr>
        <w:tabs>
          <w:tab w:pos="1440" w:val="num"/>
        </w:tabs>
        <w:ind w:hanging="360" w:left="144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pos="1080" w:val="num"/>
        </w:tabs>
        <w:ind w:hanging="360" w:left="108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pos="720" w:val="num"/>
        </w:tabs>
        <w:ind w:hanging="360" w:left="72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pos="360" w:val="num"/>
        </w:tabs>
        <w:ind w:hanging="360" w:left="360"/>
      </w:pPr>
    </w:lvl>
  </w:abstractNum>
  <w:abstractNum w:abstractNumId="8">
    <w:nsid w:val="FFFFFF89"/>
    <w:multiLevelType w:val="singleLevel"/>
    <w:tmpl w:val="29761A62"/>
    <w:lvl w:ilvl="0">
      <w:start w:val="1"/>
      <w:numFmt w:val="bullet"/>
      <w:pStyle w:val="ListBullet"/>
      <w:lvlText w:val=""/>
      <w:lvlJc w:val="left"/>
      <w:pPr>
        <w:tabs>
          <w:tab w:pos="360" w:val="num"/>
        </w:tabs>
        <w:ind w:hanging="360" w:left="360"/>
      </w:pPr>
      <w:rPr>
        <w:rFonts w:ascii="Symbol" w:hAnsi="Symbol"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201">
    <w:nsid w:val="00A99201"/>
    <w:multiLevelType w:val="multilevel"/>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val="bestFit"/>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w:themeFontLang w:eastAsia="ja-JP" w:val="en-US"/>
  <w:clrSchemeMapping w:accent1="accent1" w:accent2="accent2" w:accent3="accent3" w:accent4="accent4" w:accent5="accent5" w:accent6="accent6" w:bg1="light1" w:bg2="light2" w:followedHyperlink="followedHyperlink" w:hyperlink="hyperlink" w:t1="dark1" w:t2="dark2"/>
  <w:doNotAutoCompressPictures/>
  <w:shapeDefaults>
    <o:shapedefaults spidmax="1027"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cstheme="minorBidi" w:eastAsiaTheme="minorEastAsia" w:hAnsiTheme="minorHAnsi"/>
        <w:sz w:val="22"/>
        <w:szCs w:val="22"/>
        <w:lang w:bidi="ar-SA" w:eastAsia="en-US" w:val="en"/>
      </w:rPr>
    </w:rPrDefault>
    <w:pPrDefault>
      <w:pPr>
        <w:spacing w:after="200" w:line="276" w:lineRule="auto"/>
      </w:pPr>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FC693F"/>
    <w:pPr>
      <w:keepNext w:val="0"/>
      <w:spacing w:after="0" w:before="0" w:line="360" w:lineRule="auto"/>
    </w:pPr>
    <w:rPr>
      <w:rFonts w:ascii="Times New Roman" w:hAnsi="Times New Roman"/>
      <w:b w:val="0"/>
      <w:i w:val="0"/>
      <w:sz w:val="22"/>
    </w:rPr>
  </w:style>
  <w:style w:styleId="Header" w:type="paragraph">
    <w:name w:val="header"/>
    <w:basedOn w:val="Normal"/>
    <w:link w:val="HeaderChar"/>
    <w:uiPriority w:val="99"/>
    <w:unhideWhenUsed/>
    <w:rsid w:val="00E618BF"/>
    <w:pPr>
      <w:tabs>
        <w:tab w:pos="4680" w:val="center"/>
        <w:tab w:pos="9360" w:val="right"/>
      </w:tabs>
      <w:spacing w:after="0" w:line="240" w:lineRule="auto"/>
    </w:pPr>
  </w:style>
  <w:style w:customStyle="1" w:styleId="HeaderChar" w:type="character">
    <w:name w:val="Header Char"/>
    <w:basedOn w:val="DefaultParagraphFont"/>
    <w:link w:val="Header"/>
    <w:uiPriority w:val="99"/>
    <w:rsid w:val="00E618BF"/>
  </w:style>
  <w:style w:styleId="Footer" w:type="paragraph">
    <w:name w:val="footer"/>
    <w:basedOn w:val="Normal"/>
    <w:link w:val="FooterChar"/>
    <w:uiPriority w:val="99"/>
    <w:unhideWhenUsed/>
    <w:rsid w:val="00E618BF"/>
    <w:pPr>
      <w:tabs>
        <w:tab w:pos="4680" w:val="center"/>
        <w:tab w:pos="9360" w:val="right"/>
      </w:tabs>
      <w:spacing w:after="0" w:line="240" w:lineRule="auto"/>
    </w:pPr>
  </w:style>
  <w:style w:customStyle="1" w:styleId="FooterChar" w:type="character">
    <w:name w:val="Footer Char"/>
    <w:basedOn w:val="DefaultParagraphFont"/>
    <w:link w:val="Footer"/>
    <w:uiPriority w:val="99"/>
    <w:rsid w:val="00E618BF"/>
  </w:style>
  <w:style w:styleId="Heading1" w:type="paragraph">
    <w:name w:val="heading 1"/>
    <w:basedOn w:val="Normal"/>
    <w:next w:val="Normal"/>
    <w:link w:val="Heading1Char"/>
    <w:uiPriority w:val="9"/>
    <w:qFormat/>
    <w:rsid w:val="00FC693F"/>
    <w:pPr>
      <w:keepNext/>
      <w:keepLines/>
      <w:spacing w:after="120" w:before="240"/>
      <w:outlineLvl w:val="0"/>
    </w:pPr>
    <w:rPr>
      <w:rFonts w:ascii="Times New Roman" w:asciiTheme="majorHAnsi" w:cstheme="majorBidi" w:eastAsiaTheme="majorEastAsia" w:hAnsi="Times New Roman" w:hAnsiTheme="majorHAnsi"/>
      <w:b/>
      <w:bCs/>
      <w:i w:val="0"/>
      <w:color w:themeColor="accent1" w:themeShade="BF" w:val="365F91"/>
      <w:sz w:val="28"/>
      <w:szCs w:val="28"/>
    </w:rPr>
  </w:style>
  <w:style w:styleId="Heading2" w:type="paragraph">
    <w:name w:val="heading 2"/>
    <w:basedOn w:val="Normal"/>
    <w:next w:val="Normal"/>
    <w:link w:val="Heading2Char"/>
    <w:uiPriority w:val="9"/>
    <w:unhideWhenUsed/>
    <w:qFormat/>
    <w:rsid w:val="00FC693F"/>
    <w:pPr>
      <w:keepNext/>
      <w:keepLines/>
      <w:spacing w:after="80" w:before="200"/>
      <w:outlineLvl w:val="1"/>
    </w:pPr>
    <w:rPr>
      <w:rFonts w:ascii="Times New Roman" w:asciiTheme="majorHAnsi" w:cstheme="majorBidi" w:eastAsiaTheme="majorEastAsia" w:hAnsi="Times New Roman" w:hAnsiTheme="majorHAnsi"/>
      <w:b/>
      <w:bCs/>
      <w:i w:val="0"/>
      <w:color w:themeColor="accent1" w:val="4F81BD"/>
      <w:sz w:val="24"/>
      <w:szCs w:val="26"/>
    </w:rPr>
  </w:style>
  <w:style w:styleId="Heading3" w:type="paragraph">
    <w:name w:val="heading 3"/>
    <w:basedOn w:val="Normal"/>
    <w:next w:val="Normal"/>
    <w:link w:val="Heading3Char"/>
    <w:uiPriority w:val="9"/>
    <w:unhideWhenUsed/>
    <w:qFormat/>
    <w:rsid w:val="00FC693F"/>
    <w:pPr>
      <w:keepNext/>
      <w:keepLines/>
      <w:spacing w:after="80" w:before="160"/>
      <w:outlineLvl w:val="2"/>
    </w:pPr>
    <w:rPr>
      <w:rFonts w:ascii="Times New Roman" w:asciiTheme="majorHAnsi" w:cstheme="majorBidi" w:eastAsiaTheme="majorEastAsia" w:hAnsi="Times New Roman" w:hAnsiTheme="majorHAnsi"/>
      <w:b/>
      <w:bCs/>
      <w:i w:val="0"/>
      <w:color w:themeColor="accent1" w:val="4F81BD"/>
      <w:sz w:val="22"/>
    </w:rPr>
  </w:style>
  <w:style w:styleId="Heading4" w:type="paragraph">
    <w:name w:val="heading 4"/>
    <w:basedOn w:val="Normal"/>
    <w:next w:val="Normal"/>
    <w:link w:val="Heading4Char"/>
    <w:uiPriority w:val="9"/>
    <w:semiHidden/>
    <w:unhideWhenUsed/>
    <w:qFormat/>
    <w:rsid w:val="00FC693F"/>
    <w:pPr>
      <w:keepNext/>
      <w:keepLines/>
      <w:spacing w:after="0" w:before="200"/>
      <w:outlineLvl w:val="3"/>
    </w:pPr>
    <w:rPr>
      <w:rFonts w:asciiTheme="majorHAnsi" w:cstheme="majorBidi" w:eastAsiaTheme="majorEastAsia" w:hAnsiTheme="majorHAnsi"/>
      <w:b/>
      <w:bCs/>
      <w:i/>
      <w:iCs/>
      <w:color w:themeColor="accent1" w:val="4F81BD"/>
    </w:rPr>
  </w:style>
  <w:style w:styleId="Heading5" w:type="paragraph">
    <w:name w:val="heading 5"/>
    <w:basedOn w:val="Normal"/>
    <w:next w:val="Normal"/>
    <w:link w:val="Heading5Char"/>
    <w:uiPriority w:val="9"/>
    <w:semiHidden/>
    <w:unhideWhenUsed/>
    <w:qFormat/>
    <w:rsid w:val="00FC693F"/>
    <w:pPr>
      <w:keepNext/>
      <w:keepLines/>
      <w:spacing w:after="0" w:before="200"/>
      <w:outlineLvl w:val="4"/>
    </w:pPr>
    <w:rPr>
      <w:rFonts w:asciiTheme="majorHAnsi" w:cstheme="majorBidi" w:eastAsiaTheme="majorEastAsia" w:hAnsiTheme="majorHAnsi"/>
      <w:color w:themeColor="accent1" w:themeShade="7F" w:val="243F60"/>
    </w:rPr>
  </w:style>
  <w:style w:styleId="Heading6" w:type="paragraph">
    <w:name w:val="heading 6"/>
    <w:basedOn w:val="Normal"/>
    <w:next w:val="Normal"/>
    <w:link w:val="Heading6Char"/>
    <w:uiPriority w:val="9"/>
    <w:semiHidden/>
    <w:unhideWhenUsed/>
    <w:qFormat/>
    <w:rsid w:val="00FC693F"/>
    <w:pPr>
      <w:keepNext/>
      <w:keepLines/>
      <w:spacing w:after="0" w:before="200"/>
      <w:outlineLvl w:val="5"/>
    </w:pPr>
    <w:rPr>
      <w:rFonts w:asciiTheme="majorHAnsi" w:cstheme="majorBidi" w:eastAsiaTheme="majorEastAsia" w:hAnsiTheme="majorHAnsi"/>
      <w:i/>
      <w:iCs/>
      <w:color w:themeColor="accent1" w:themeShade="7F" w:val="243F60"/>
    </w:rPr>
  </w:style>
  <w:style w:styleId="Heading7" w:type="paragraph">
    <w:name w:val="heading 7"/>
    <w:basedOn w:val="Normal"/>
    <w:next w:val="Normal"/>
    <w:link w:val="Heading7Char"/>
    <w:uiPriority w:val="9"/>
    <w:semiHidden/>
    <w:unhideWhenUsed/>
    <w:qFormat/>
    <w:rsid w:val="00FC693F"/>
    <w:pPr>
      <w:keepNext/>
      <w:keepLines/>
      <w:spacing w:after="0" w:before="200"/>
      <w:outlineLvl w:val="6"/>
    </w:pPr>
    <w:rPr>
      <w:rFonts w:asciiTheme="majorHAnsi" w:cstheme="majorBidi" w:eastAsiaTheme="majorEastAsia" w:hAnsiTheme="majorHAnsi"/>
      <w:i/>
      <w:iCs/>
      <w:color w:themeColor="text1" w:themeTint="BF" w:val="404040"/>
    </w:rPr>
  </w:style>
  <w:style w:styleId="Heading8" w:type="paragraph">
    <w:name w:val="heading 8"/>
    <w:basedOn w:val="Normal"/>
    <w:next w:val="Normal"/>
    <w:link w:val="Heading8Char"/>
    <w:uiPriority w:val="9"/>
    <w:semiHidden/>
    <w:unhideWhenUsed/>
    <w:qFormat/>
    <w:rsid w:val="00FC693F"/>
    <w:pPr>
      <w:keepNext/>
      <w:keepLines/>
      <w:spacing w:after="0" w:before="200"/>
      <w:outlineLvl w:val="7"/>
    </w:pPr>
    <w:rPr>
      <w:rFonts w:asciiTheme="majorHAnsi" w:cstheme="majorBidi" w:eastAsiaTheme="majorEastAsia" w:hAnsiTheme="majorHAnsi"/>
      <w:color w:themeColor="accent1" w:val="4F81BD"/>
      <w:sz w:val="20"/>
      <w:szCs w:val="20"/>
    </w:rPr>
  </w:style>
  <w:style w:styleId="Heading9" w:type="paragraph">
    <w:name w:val="heading 9"/>
    <w:basedOn w:val="Normal"/>
    <w:next w:val="Normal"/>
    <w:link w:val="Heading9Char"/>
    <w:uiPriority w:val="9"/>
    <w:semiHidden/>
    <w:unhideWhenUsed/>
    <w:qFormat/>
    <w:rsid w:val="00FC693F"/>
    <w:pPr>
      <w:keepNext/>
      <w:keepLines/>
      <w:spacing w:after="0" w:before="200"/>
      <w:outlineLvl w:val="8"/>
    </w:pPr>
    <w:rPr>
      <w:rFonts w:asciiTheme="majorHAnsi" w:cstheme="majorBidi" w:eastAsiaTheme="majorEastAsia" w:hAnsiTheme="majorHAnsi"/>
      <w:i/>
      <w:iCs/>
      <w:color w:themeColor="text1" w:themeTint="BF" w:val="404040"/>
      <w:sz w:val="20"/>
      <w:szCs w:val="20"/>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NoSpacing" w:type="paragraph">
    <w:name w:val="No Spacing"/>
    <w:uiPriority w:val="1"/>
    <w:qFormat/>
    <w:rsid w:val="00FC693F"/>
    <w:pPr>
      <w:spacing w:after="0" w:line="240" w:lineRule="auto"/>
    </w:pPr>
  </w:style>
  <w:style w:customStyle="1" w:styleId="Heading1Char" w:type="character">
    <w:name w:val="Heading 1 Char"/>
    <w:basedOn w:val="DefaultParagraphFont"/>
    <w:link w:val="Heading1"/>
    <w:uiPriority w:val="9"/>
    <w:rsid w:val="00FC693F"/>
    <w:rPr>
      <w:rFonts w:asciiTheme="majorHAnsi" w:cstheme="majorBidi" w:eastAsiaTheme="majorEastAsia" w:hAnsiTheme="majorHAnsi"/>
      <w:b/>
      <w:bCs/>
      <w:color w:themeColor="accent1" w:themeShade="BF" w:val="365F91"/>
      <w:sz w:val="28"/>
      <w:szCs w:val="28"/>
    </w:rPr>
  </w:style>
  <w:style w:customStyle="1" w:styleId="Heading2Char" w:type="character">
    <w:name w:val="Heading 2 Char"/>
    <w:basedOn w:val="DefaultParagraphFont"/>
    <w:link w:val="Heading2"/>
    <w:uiPriority w:val="9"/>
    <w:rsid w:val="00FC693F"/>
    <w:rPr>
      <w:rFonts w:asciiTheme="majorHAnsi" w:cstheme="majorBidi" w:eastAsiaTheme="majorEastAsia" w:hAnsiTheme="majorHAnsi"/>
      <w:b/>
      <w:bCs/>
      <w:color w:themeColor="accent1" w:val="4F81BD"/>
      <w:sz w:val="26"/>
      <w:szCs w:val="26"/>
    </w:rPr>
  </w:style>
  <w:style w:customStyle="1" w:styleId="Heading3Char" w:type="character">
    <w:name w:val="Heading 3 Char"/>
    <w:basedOn w:val="DefaultParagraphFont"/>
    <w:link w:val="Heading3"/>
    <w:uiPriority w:val="9"/>
    <w:rsid w:val="00FC693F"/>
    <w:rPr>
      <w:rFonts w:asciiTheme="majorHAnsi" w:cstheme="majorBidi" w:eastAsiaTheme="majorEastAsia" w:hAnsiTheme="majorHAnsi"/>
      <w:b/>
      <w:bCs/>
      <w:color w:themeColor="accent1" w:val="4F81BD"/>
    </w:rPr>
  </w:style>
  <w:style w:styleId="Title" w:type="paragraph">
    <w:name w:val="Title"/>
    <w:basedOn w:val="Normal"/>
    <w:next w:val="Normal"/>
    <w:link w:val="TitleChar"/>
    <w:uiPriority w:val="10"/>
    <w:qFormat/>
    <w:rsid w:val="00FC693F"/>
    <w:pPr>
      <w:keepNext w:val="0"/>
      <w:pBdr>
        <w:bottom w:color="4F81BD" w:space="4" w:sz="8" w:themeColor="accent1" w:val="single"/>
      </w:pBdr>
      <w:spacing w:after="160" w:before="0" w:line="240" w:lineRule="auto"/>
      <w:contextualSpacing/>
      <w:jc w:val="center"/>
    </w:pPr>
    <w:rPr>
      <w:rFonts w:ascii="Times New Roman" w:asciiTheme="majorHAnsi" w:cstheme="majorBidi" w:eastAsiaTheme="majorEastAsia" w:hAnsi="Times New Roman" w:hAnsiTheme="majorHAnsi"/>
      <w:b/>
      <w:i w:val="0"/>
      <w:color w:themeColor="text2" w:themeShade="BF" w:val="17365D"/>
      <w:spacing w:val="5"/>
      <w:kern w:val="28"/>
      <w:sz w:val="36"/>
      <w:szCs w:val="52"/>
    </w:rPr>
  </w:style>
  <w:style w:customStyle="1" w:styleId="TitleChar" w:type="character">
    <w:name w:val="Title Char"/>
    <w:basedOn w:val="DefaultParagraphFont"/>
    <w:link w:val="Title"/>
    <w:uiPriority w:val="10"/>
    <w:rsid w:val="00FC693F"/>
    <w:rPr>
      <w:rFonts w:asciiTheme="majorHAnsi" w:cstheme="majorBidi" w:eastAsiaTheme="majorEastAsia" w:hAnsiTheme="majorHAnsi"/>
      <w:color w:themeColor="text2" w:themeShade="BF" w:val="17365D"/>
      <w:spacing w:val="5"/>
      <w:kern w:val="28"/>
      <w:sz w:val="52"/>
      <w:szCs w:val="52"/>
    </w:rPr>
  </w:style>
  <w:style w:styleId="Subtitle" w:type="paragraph">
    <w:name w:val="Subtitle"/>
    <w:basedOn w:val="Normal"/>
    <w:next w:val="Normal"/>
    <w:link w:val="SubtitleChar"/>
    <w:uiPriority w:val="11"/>
    <w:qFormat/>
    <w:rsid w:val="00FC693F"/>
    <w:pPr>
      <w:keepNext w:val="0"/>
      <w:numPr>
        <w:ilvl w:val="1"/>
      </w:numPr>
      <w:spacing w:after="80" w:before="0"/>
      <w:jc w:val="center"/>
    </w:pPr>
    <w:rPr>
      <w:rFonts w:ascii="Times New Roman" w:asciiTheme="majorHAnsi" w:cstheme="majorBidi" w:eastAsiaTheme="majorEastAsia" w:hAnsi="Times New Roman" w:hAnsiTheme="majorHAnsi"/>
      <w:b w:val="0"/>
      <w:i w:val="0"/>
      <w:iCs/>
      <w:color w:themeColor="accent1" w:val="4F81BD"/>
      <w:spacing w:val="15"/>
      <w:sz w:val="24"/>
      <w:szCs w:val="24"/>
    </w:rPr>
  </w:style>
  <w:style w:customStyle="1" w:styleId="SubtitleChar" w:type="character">
    <w:name w:val="Subtitle Char"/>
    <w:basedOn w:val="DefaultParagraphFont"/>
    <w:link w:val="Subtitle"/>
    <w:uiPriority w:val="11"/>
    <w:rsid w:val="00FC693F"/>
    <w:rPr>
      <w:rFonts w:asciiTheme="majorHAnsi" w:cstheme="majorBidi" w:eastAsiaTheme="majorEastAsia" w:hAnsiTheme="majorHAnsi"/>
      <w:i/>
      <w:iCs/>
      <w:color w:themeColor="accent1" w:val="4F81BD"/>
      <w:spacing w:val="15"/>
      <w:sz w:val="24"/>
      <w:szCs w:val="24"/>
    </w:rPr>
  </w:style>
  <w:style w:styleId="ListParagraph" w:type="paragraph">
    <w:name w:val="List Paragraph"/>
    <w:basedOn w:val="Normal"/>
    <w:uiPriority w:val="34"/>
    <w:qFormat/>
    <w:rsid w:val="00FC693F"/>
    <w:pPr>
      <w:ind w:left="720"/>
      <w:contextualSpacing/>
    </w:pPr>
  </w:style>
  <w:style w:styleId="BodyText" w:type="paragraph">
    <w:name w:val="Body Text"/>
    <w:basedOn w:val="Normal"/>
    <w:link w:val="BodyTextChar"/>
    <w:uiPriority w:val="99"/>
    <w:unhideWhenUsed/>
    <w:rsid w:val="00AA1D8D"/>
    <w:pPr>
      <w:keepNext w:val="0"/>
      <w:spacing w:after="0" w:before="0" w:line="360" w:lineRule="auto"/>
      <w:jc w:val="both"/>
    </w:pPr>
    <w:rPr>
      <w:rFonts w:ascii="Times New Roman" w:hAnsi="Times New Roman"/>
      <w:b w:val="0"/>
      <w:i w:val="0"/>
      <w:sz w:val="22"/>
    </w:rPr>
  </w:style>
  <w:style w:customStyle="1" w:styleId="BodyTextChar" w:type="character">
    <w:name w:val="Body Text Char"/>
    <w:basedOn w:val="DefaultParagraphFont"/>
    <w:link w:val="BodyText"/>
    <w:uiPriority w:val="99"/>
    <w:rsid w:val="00AA1D8D"/>
  </w:style>
  <w:style w:styleId="BodyText2" w:type="paragraph">
    <w:name w:val="Body Text 2"/>
    <w:basedOn w:val="Normal"/>
    <w:link w:val="BodyText2Char"/>
    <w:uiPriority w:val="99"/>
    <w:unhideWhenUsed/>
    <w:rsid w:val="00AA1D8D"/>
    <w:pPr>
      <w:spacing w:after="120" w:line="480" w:lineRule="auto"/>
    </w:pPr>
  </w:style>
  <w:style w:customStyle="1" w:styleId="BodyText2Char" w:type="character">
    <w:name w:val="Body Text 2 Char"/>
    <w:basedOn w:val="DefaultParagraphFont"/>
    <w:link w:val="BodyText2"/>
    <w:uiPriority w:val="99"/>
    <w:rsid w:val="00AA1D8D"/>
  </w:style>
  <w:style w:styleId="BodyText3" w:type="paragraph">
    <w:name w:val="Body Text 3"/>
    <w:basedOn w:val="Normal"/>
    <w:link w:val="BodyText3Char"/>
    <w:uiPriority w:val="99"/>
    <w:unhideWhenUsed/>
    <w:rsid w:val="00AA1D8D"/>
    <w:pPr>
      <w:spacing w:after="120"/>
    </w:pPr>
    <w:rPr>
      <w:sz w:val="16"/>
      <w:szCs w:val="16"/>
    </w:rPr>
  </w:style>
  <w:style w:customStyle="1" w:styleId="BodyText3Char" w:type="character">
    <w:name w:val="Body Text 3 Char"/>
    <w:basedOn w:val="DefaultParagraphFont"/>
    <w:link w:val="BodyText3"/>
    <w:uiPriority w:val="99"/>
    <w:rsid w:val="00AA1D8D"/>
    <w:rPr>
      <w:sz w:val="16"/>
      <w:szCs w:val="16"/>
    </w:rPr>
  </w:style>
  <w:style w:styleId="List" w:type="paragraph">
    <w:name w:val="List"/>
    <w:basedOn w:val="Normal"/>
    <w:uiPriority w:val="99"/>
    <w:unhideWhenUsed/>
    <w:rsid w:val="00AA1D8D"/>
    <w:pPr>
      <w:ind w:hanging="360" w:left="360"/>
      <w:contextualSpacing/>
    </w:pPr>
  </w:style>
  <w:style w:styleId="List2" w:type="paragraph">
    <w:name w:val="List 2"/>
    <w:basedOn w:val="Normal"/>
    <w:uiPriority w:val="99"/>
    <w:unhideWhenUsed/>
    <w:rsid w:val="00326F90"/>
    <w:pPr>
      <w:ind w:hanging="360" w:left="720"/>
      <w:contextualSpacing/>
    </w:pPr>
  </w:style>
  <w:style w:styleId="List3" w:type="paragraph">
    <w:name w:val="List 3"/>
    <w:basedOn w:val="Normal"/>
    <w:uiPriority w:val="99"/>
    <w:unhideWhenUsed/>
    <w:rsid w:val="00326F90"/>
    <w:pPr>
      <w:ind w:hanging="360" w:left="1080"/>
      <w:contextualSpacing/>
    </w:pPr>
  </w:style>
  <w:style w:styleId="ListBullet" w:type="paragraph">
    <w:name w:val="List Bullet"/>
    <w:basedOn w:val="Normal"/>
    <w:uiPriority w:val="99"/>
    <w:unhideWhenUsed/>
    <w:rsid w:val="00326F90"/>
    <w:pPr>
      <w:numPr>
        <w:numId w:val="1"/>
      </w:numPr>
      <w:contextualSpacing/>
    </w:pPr>
  </w:style>
  <w:style w:styleId="ListBullet2" w:type="paragraph">
    <w:name w:val="List Bullet 2"/>
    <w:basedOn w:val="Normal"/>
    <w:uiPriority w:val="99"/>
    <w:unhideWhenUsed/>
    <w:rsid w:val="00326F90"/>
    <w:pPr>
      <w:numPr>
        <w:numId w:val="2"/>
      </w:numPr>
      <w:contextualSpacing/>
    </w:pPr>
  </w:style>
  <w:style w:styleId="ListBullet3" w:type="paragraph">
    <w:name w:val="List Bullet 3"/>
    <w:basedOn w:val="Normal"/>
    <w:uiPriority w:val="99"/>
    <w:unhideWhenUsed/>
    <w:rsid w:val="00326F90"/>
    <w:pPr>
      <w:numPr>
        <w:numId w:val="3"/>
      </w:numPr>
      <w:contextualSpacing/>
    </w:pPr>
  </w:style>
  <w:style w:styleId="ListNumber" w:type="paragraph">
    <w:name w:val="List Number"/>
    <w:basedOn w:val="Normal"/>
    <w:uiPriority w:val="99"/>
    <w:unhideWhenUsed/>
    <w:rsid w:val="00326F90"/>
    <w:pPr>
      <w:numPr>
        <w:numId w:val="5"/>
      </w:numPr>
      <w:contextualSpacing/>
    </w:pPr>
  </w:style>
  <w:style w:styleId="ListNumber2" w:type="paragraph">
    <w:name w:val="List Number 2"/>
    <w:basedOn w:val="Normal"/>
    <w:uiPriority w:val="99"/>
    <w:unhideWhenUsed/>
    <w:rsid w:val="0029639D"/>
    <w:pPr>
      <w:numPr>
        <w:numId w:val="6"/>
      </w:numPr>
      <w:contextualSpacing/>
    </w:pPr>
  </w:style>
  <w:style w:styleId="ListNumber3" w:type="paragraph">
    <w:name w:val="List Number 3"/>
    <w:basedOn w:val="Normal"/>
    <w:uiPriority w:val="99"/>
    <w:unhideWhenUsed/>
    <w:rsid w:val="0029639D"/>
    <w:pPr>
      <w:numPr>
        <w:numId w:val="7"/>
      </w:numPr>
      <w:contextualSpacing/>
    </w:pPr>
  </w:style>
  <w:style w:styleId="ListContinue" w:type="paragraph">
    <w:name w:val="List Continue"/>
    <w:basedOn w:val="Normal"/>
    <w:uiPriority w:val="99"/>
    <w:unhideWhenUsed/>
    <w:rsid w:val="0029639D"/>
    <w:pPr>
      <w:spacing w:after="120"/>
      <w:ind w:left="360"/>
      <w:contextualSpacing/>
    </w:pPr>
  </w:style>
  <w:style w:styleId="ListContinue2" w:type="paragraph">
    <w:name w:val="List Continue 2"/>
    <w:basedOn w:val="Normal"/>
    <w:uiPriority w:val="99"/>
    <w:unhideWhenUsed/>
    <w:rsid w:val="0029639D"/>
    <w:pPr>
      <w:spacing w:after="120"/>
      <w:ind w:left="720"/>
      <w:contextualSpacing/>
    </w:pPr>
  </w:style>
  <w:style w:styleId="ListContinue3" w:type="paragraph">
    <w:name w:val="List Continue 3"/>
    <w:basedOn w:val="Normal"/>
    <w:uiPriority w:val="99"/>
    <w:unhideWhenUsed/>
    <w:rsid w:val="0029639D"/>
    <w:pPr>
      <w:spacing w:after="120"/>
      <w:ind w:left="1080"/>
      <w:contextualSpacing/>
    </w:pPr>
  </w:style>
  <w:style w:styleId="MacroText" w:type="paragraph">
    <w:name w:val="macro"/>
    <w:link w:val="MacroTextChar"/>
    <w:uiPriority w:val="99"/>
    <w:unhideWhenUsed/>
    <w:rsid w:val="0029639D"/>
    <w:pPr>
      <w:tabs>
        <w:tab w:pos="576" w:val="left"/>
        <w:tab w:pos="1152" w:val="left"/>
        <w:tab w:pos="1728" w:val="left"/>
        <w:tab w:pos="2304" w:val="left"/>
        <w:tab w:pos="2880" w:val="left"/>
        <w:tab w:pos="3456" w:val="left"/>
        <w:tab w:pos="4032" w:val="left"/>
      </w:tabs>
    </w:pPr>
    <w:rPr>
      <w:rFonts w:ascii="Courier" w:hAnsi="Courier"/>
      <w:sz w:val="20"/>
      <w:szCs w:val="20"/>
    </w:rPr>
  </w:style>
  <w:style w:customStyle="1" w:styleId="MacroTextChar" w:type="character">
    <w:name w:val="Macro Text Char"/>
    <w:basedOn w:val="DefaultParagraphFont"/>
    <w:link w:val="MacroText"/>
    <w:uiPriority w:val="99"/>
    <w:rsid w:val="0029639D"/>
    <w:rPr>
      <w:rFonts w:ascii="Courier" w:hAnsi="Courier"/>
      <w:sz w:val="20"/>
      <w:szCs w:val="20"/>
    </w:rPr>
  </w:style>
  <w:style w:styleId="Quote" w:type="paragraph">
    <w:name w:val="Quote"/>
    <w:basedOn w:val="Normal"/>
    <w:next w:val="Normal"/>
    <w:link w:val="QuoteChar"/>
    <w:uiPriority w:val="29"/>
    <w:qFormat/>
    <w:rsid w:val="00FC693F"/>
    <w:rPr>
      <w:i/>
      <w:iCs/>
      <w:color w:themeColor="text1" w:val="000000"/>
    </w:rPr>
  </w:style>
  <w:style w:customStyle="1" w:styleId="QuoteChar" w:type="character">
    <w:name w:val="Quote Char"/>
    <w:basedOn w:val="DefaultParagraphFont"/>
    <w:link w:val="Quote"/>
    <w:uiPriority w:val="29"/>
    <w:rsid w:val="00FC693F"/>
    <w:rPr>
      <w:i/>
      <w:iCs/>
      <w:color w:themeColor="text1" w:val="000000"/>
    </w:rPr>
  </w:style>
  <w:style w:customStyle="1" w:styleId="Heading4Char" w:type="character">
    <w:name w:val="Heading 4 Char"/>
    <w:basedOn w:val="DefaultParagraphFont"/>
    <w:link w:val="Heading4"/>
    <w:uiPriority w:val="9"/>
    <w:semiHidden/>
    <w:rsid w:val="00FC693F"/>
    <w:rPr>
      <w:rFonts w:asciiTheme="majorHAnsi" w:cstheme="majorBidi" w:eastAsiaTheme="majorEastAsia" w:hAnsiTheme="majorHAnsi"/>
      <w:b/>
      <w:bCs/>
      <w:i/>
      <w:iCs/>
      <w:color w:themeColor="accent1" w:val="4F81BD"/>
    </w:rPr>
  </w:style>
  <w:style w:customStyle="1" w:styleId="Heading5Char" w:type="character">
    <w:name w:val="Heading 5 Char"/>
    <w:basedOn w:val="DefaultParagraphFont"/>
    <w:link w:val="Heading5"/>
    <w:uiPriority w:val="9"/>
    <w:semiHidden/>
    <w:rsid w:val="00FC693F"/>
    <w:rPr>
      <w:rFonts w:asciiTheme="majorHAnsi" w:cstheme="majorBidi" w:eastAsiaTheme="majorEastAsia" w:hAnsiTheme="majorHAnsi"/>
      <w:color w:themeColor="accent1" w:themeShade="7F" w:val="243F60"/>
    </w:rPr>
  </w:style>
  <w:style w:customStyle="1" w:styleId="Heading6Char" w:type="character">
    <w:name w:val="Heading 6 Char"/>
    <w:basedOn w:val="DefaultParagraphFont"/>
    <w:link w:val="Heading6"/>
    <w:uiPriority w:val="9"/>
    <w:semiHidden/>
    <w:rsid w:val="00FC693F"/>
    <w:rPr>
      <w:rFonts w:asciiTheme="majorHAnsi" w:cstheme="majorBidi" w:eastAsiaTheme="majorEastAsia" w:hAnsiTheme="majorHAnsi"/>
      <w:i/>
      <w:iCs/>
      <w:color w:themeColor="accent1" w:themeShade="7F" w:val="243F60"/>
    </w:rPr>
  </w:style>
  <w:style w:customStyle="1" w:styleId="Heading7Char" w:type="character">
    <w:name w:val="Heading 7 Char"/>
    <w:basedOn w:val="DefaultParagraphFont"/>
    <w:link w:val="Heading7"/>
    <w:uiPriority w:val="9"/>
    <w:semiHidden/>
    <w:rsid w:val="00FC693F"/>
    <w:rPr>
      <w:rFonts w:asciiTheme="majorHAnsi" w:cstheme="majorBidi" w:eastAsiaTheme="majorEastAsia" w:hAnsiTheme="majorHAnsi"/>
      <w:i/>
      <w:iCs/>
      <w:color w:themeColor="text1" w:themeTint="BF" w:val="404040"/>
    </w:rPr>
  </w:style>
  <w:style w:customStyle="1" w:styleId="Heading8Char" w:type="character">
    <w:name w:val="Heading 8 Char"/>
    <w:basedOn w:val="DefaultParagraphFont"/>
    <w:link w:val="Heading8"/>
    <w:uiPriority w:val="9"/>
    <w:semiHidden/>
    <w:rsid w:val="00FC693F"/>
    <w:rPr>
      <w:rFonts w:asciiTheme="majorHAnsi" w:cstheme="majorBidi" w:eastAsiaTheme="majorEastAsia" w:hAnsiTheme="majorHAnsi"/>
      <w:color w:themeColor="accent1" w:val="4F81BD"/>
      <w:sz w:val="20"/>
      <w:szCs w:val="20"/>
    </w:rPr>
  </w:style>
  <w:style w:customStyle="1" w:styleId="Heading9Char" w:type="character">
    <w:name w:val="Heading 9 Char"/>
    <w:basedOn w:val="DefaultParagraphFont"/>
    <w:link w:val="Heading9"/>
    <w:uiPriority w:val="9"/>
    <w:semiHidden/>
    <w:rsid w:val="00FC693F"/>
    <w:rPr>
      <w:rFonts w:asciiTheme="majorHAnsi" w:cstheme="majorBidi" w:eastAsiaTheme="majorEastAsia" w:hAnsiTheme="majorHAnsi"/>
      <w:i/>
      <w:iCs/>
      <w:color w:themeColor="text1" w:themeTint="BF" w:val="404040"/>
      <w:sz w:val="20"/>
      <w:szCs w:val="20"/>
    </w:rPr>
  </w:style>
  <w:style w:styleId="Caption" w:type="paragraph">
    <w:name w:val="caption"/>
    <w:basedOn w:val="Normal"/>
    <w:next w:val="Normal"/>
    <w:uiPriority w:val="35"/>
    <w:semiHidden/>
    <w:unhideWhenUsed/>
    <w:qFormat/>
    <w:rsid w:val="00FC693F"/>
    <w:pPr>
      <w:spacing w:line="240" w:lineRule="auto"/>
    </w:pPr>
    <w:rPr>
      <w:b/>
      <w:bCs/>
      <w:color w:themeColor="accent1" w:val="4F81BD"/>
      <w:sz w:val="18"/>
      <w:szCs w:val="18"/>
    </w:rPr>
  </w:style>
  <w:style w:styleId="Strong" w:type="character">
    <w:name w:val="Strong"/>
    <w:basedOn w:val="DefaultParagraphFont"/>
    <w:uiPriority w:val="22"/>
    <w:qFormat/>
    <w:rsid w:val="00FC693F"/>
    <w:rPr>
      <w:b/>
      <w:bCs/>
    </w:rPr>
  </w:style>
  <w:style w:styleId="Emphasis" w:type="character">
    <w:name w:val="Emphasis"/>
    <w:basedOn w:val="DefaultParagraphFont"/>
    <w:uiPriority w:val="20"/>
    <w:qFormat/>
    <w:rsid w:val="00FC693F"/>
    <w:rPr>
      <w:i/>
      <w:iCs/>
    </w:rPr>
  </w:style>
  <w:style w:styleId="IntenseQuote" w:type="paragraph">
    <w:name w:val="Intense Quote"/>
    <w:basedOn w:val="Normal"/>
    <w:next w:val="Normal"/>
    <w:link w:val="IntenseQuoteChar"/>
    <w:uiPriority w:val="30"/>
    <w:qFormat/>
    <w:rsid w:val="00FC693F"/>
    <w:pPr>
      <w:pBdr>
        <w:bottom w:color="4F81BD" w:space="4" w:sz="4" w:themeColor="accent1" w:val="single"/>
      </w:pBdr>
      <w:spacing w:after="280" w:before="200"/>
      <w:ind w:left="936" w:right="936"/>
    </w:pPr>
    <w:rPr>
      <w:b/>
      <w:bCs/>
      <w:i/>
      <w:iCs/>
      <w:color w:themeColor="accent1" w:val="4F81BD"/>
    </w:rPr>
  </w:style>
  <w:style w:customStyle="1" w:styleId="IntenseQuoteChar" w:type="character">
    <w:name w:val="Intense Quote Char"/>
    <w:basedOn w:val="DefaultParagraphFont"/>
    <w:link w:val="IntenseQuote"/>
    <w:uiPriority w:val="30"/>
    <w:rsid w:val="00FC693F"/>
    <w:rPr>
      <w:b/>
      <w:bCs/>
      <w:i/>
      <w:iCs/>
      <w:color w:themeColor="accent1" w:val="4F81BD"/>
    </w:rPr>
  </w:style>
  <w:style w:styleId="SubtleEmphasis" w:type="character">
    <w:name w:val="Subtle Emphasis"/>
    <w:basedOn w:val="DefaultParagraphFont"/>
    <w:uiPriority w:val="19"/>
    <w:qFormat/>
    <w:rsid w:val="00FC693F"/>
    <w:rPr>
      <w:i/>
      <w:iCs/>
      <w:color w:themeColor="text1" w:themeTint="7F" w:val="808080"/>
    </w:rPr>
  </w:style>
  <w:style w:styleId="IntenseEmphasis" w:type="character">
    <w:name w:val="Intense Emphasis"/>
    <w:basedOn w:val="DefaultParagraphFont"/>
    <w:uiPriority w:val="21"/>
    <w:qFormat/>
    <w:rsid w:val="00FC693F"/>
    <w:rPr>
      <w:b/>
      <w:bCs/>
      <w:i/>
      <w:iCs/>
      <w:color w:themeColor="accent1" w:val="4F81BD"/>
    </w:rPr>
  </w:style>
  <w:style w:styleId="SubtleReference" w:type="character">
    <w:name w:val="Subtle Reference"/>
    <w:basedOn w:val="DefaultParagraphFont"/>
    <w:uiPriority w:val="31"/>
    <w:qFormat/>
    <w:rsid w:val="00FC693F"/>
    <w:rPr>
      <w:smallCaps/>
      <w:color w:themeColor="accent2" w:val="C0504D"/>
      <w:u w:val="single"/>
    </w:rPr>
  </w:style>
  <w:style w:styleId="IntenseReference" w:type="character">
    <w:name w:val="Intense Reference"/>
    <w:basedOn w:val="DefaultParagraphFont"/>
    <w:uiPriority w:val="32"/>
    <w:qFormat/>
    <w:rsid w:val="00FC693F"/>
    <w:rPr>
      <w:b/>
      <w:bCs/>
      <w:smallCaps/>
      <w:color w:themeColor="accent2" w:val="C0504D"/>
      <w:spacing w:val="5"/>
      <w:u w:val="single"/>
    </w:rPr>
  </w:style>
  <w:style w:styleId="BookTitle" w:type="character">
    <w:name w:val="Book Title"/>
    <w:basedOn w:val="DefaultParagraphFont"/>
    <w:uiPriority w:val="33"/>
    <w:qFormat/>
    <w:rsid w:val="00FC693F"/>
    <w:rPr>
      <w:b/>
      <w:bCs/>
      <w:smallCaps/>
      <w:spacing w:val="5"/>
    </w:rPr>
  </w:style>
  <w:style w:styleId="TOCHeading" w:type="paragraph">
    <w:name w:val="TOC Heading"/>
    <w:basedOn w:val="Heading1"/>
    <w:next w:val="Normal"/>
    <w:uiPriority w:val="39"/>
    <w:semiHidden/>
    <w:unhideWhenUsed/>
    <w:qFormat/>
    <w:rsid w:val="00FC693F"/>
    <w:pPr>
      <w:outlineLvl w:val="9"/>
    </w:pPr>
  </w:style>
  <w:style w:styleId="TableGrid" w:type="table">
    <w:name w:val="Table Grid"/>
    <w:basedOn w:val="TableNormal"/>
    <w:uiPriority w:val="59"/>
    <w:rsid w:val="00FC693F"/>
    <w:pPr>
      <w:spacing w:after="0" w:line="240" w:lineRule="auto"/>
    </w:pPr>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LightShading" w:type="table">
    <w:name w:val="Light Shading"/>
    <w:basedOn w:val="TableNormal"/>
    <w:uiPriority w:val="60"/>
    <w:rsid w:val="00FC693F"/>
    <w:pPr>
      <w:spacing w:after="0" w:line="240" w:lineRule="auto"/>
    </w:pPr>
    <w:rPr>
      <w:color w:themeColor="text1" w:themeShade="BF"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lastRow">
      <w:pPr>
        <w:spacing w:after="0" w:before="0" w:line="240" w:lineRule="auto"/>
      </w:pPr>
      <w:rPr>
        <w:b/>
        <w:bCs/>
      </w:rPr>
      <w:tblPr/>
      <w:tcPr>
        <w:tcBorders>
          <w:top w:color="000000" w:space="0" w:sz="8" w:themeColor="text1" w:val="single"/>
          <w:left w:val="nil"/>
          <w:bottom w:color="000000" w:space="0" w:sz="8" w:themeColor="tex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left w:val="nil"/>
          <w:right w:val="nil"/>
          <w:insideH w:val="nil"/>
          <w:insideV w:val="nil"/>
        </w:tcBorders>
        <w:shd w:color="auto" w:fill="C0C0C0" w:themeFill="text1" w:themeFillTint="3F" w:val="clear"/>
      </w:tcPr>
    </w:tblStylePr>
  </w:style>
  <w:style w:styleId="LightShading-Accent1" w:type="table">
    <w:name w:val="Light Shading Accent 1"/>
    <w:basedOn w:val="TableNormal"/>
    <w:uiPriority w:val="60"/>
    <w:rsid w:val="00FC693F"/>
    <w:pPr>
      <w:spacing w:after="0" w:line="240" w:lineRule="auto"/>
    </w:pPr>
    <w:rPr>
      <w:color w:themeColor="accent1" w:themeShade="BF" w:val="365F91"/>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lastRow">
      <w:pPr>
        <w:spacing w:after="0" w:before="0" w:line="240" w:lineRule="auto"/>
      </w:pPr>
      <w:rPr>
        <w:b/>
        <w:bCs/>
      </w:rPr>
      <w:tblPr/>
      <w:tcPr>
        <w:tcBorders>
          <w:top w:color="4F81BD" w:space="0" w:sz="8" w:themeColor="accent1" w:val="single"/>
          <w:left w:val="nil"/>
          <w:bottom w:color="4F81BD" w:space="0" w:sz="8" w:themeColor="accent1"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left w:val="nil"/>
          <w:right w:val="nil"/>
          <w:insideH w:val="nil"/>
          <w:insideV w:val="nil"/>
        </w:tcBorders>
        <w:shd w:color="auto" w:fill="D3DFEE" w:themeFill="accent1" w:themeFillTint="3F" w:val="clear"/>
      </w:tcPr>
    </w:tblStylePr>
  </w:style>
  <w:style w:styleId="LightShading-Accent2" w:type="table">
    <w:name w:val="Light Shading Accent 2"/>
    <w:basedOn w:val="TableNormal"/>
    <w:uiPriority w:val="60"/>
    <w:rsid w:val="00FC693F"/>
    <w:pPr>
      <w:spacing w:after="0" w:line="240" w:lineRule="auto"/>
    </w:pPr>
    <w:rPr>
      <w:color w:themeColor="accent2" w:themeShade="BF" w:val="943634"/>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lastRow">
      <w:pPr>
        <w:spacing w:after="0" w:before="0" w:line="240" w:lineRule="auto"/>
      </w:pPr>
      <w:rPr>
        <w:b/>
        <w:bCs/>
      </w:rPr>
      <w:tblPr/>
      <w:tcPr>
        <w:tcBorders>
          <w:top w:color="C0504D" w:space="0" w:sz="8" w:themeColor="accent2" w:val="single"/>
          <w:left w:val="nil"/>
          <w:bottom w:color="C0504D" w:space="0" w:sz="8" w:themeColor="accent2"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left w:val="nil"/>
          <w:right w:val="nil"/>
          <w:insideH w:val="nil"/>
          <w:insideV w:val="nil"/>
        </w:tcBorders>
        <w:shd w:color="auto" w:fill="EFD3D2" w:themeFill="accent2" w:themeFillTint="3F" w:val="clear"/>
      </w:tcPr>
    </w:tblStylePr>
  </w:style>
  <w:style w:styleId="LightShading-Accent3" w:type="table">
    <w:name w:val="Light Shading Accent 3"/>
    <w:basedOn w:val="TableNormal"/>
    <w:uiPriority w:val="60"/>
    <w:rsid w:val="00FC693F"/>
    <w:pPr>
      <w:spacing w:after="0" w:line="240" w:lineRule="auto"/>
    </w:pPr>
    <w:rPr>
      <w:color w:themeColor="accent3" w:themeShade="BF" w:val="76923C"/>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lastRow">
      <w:pPr>
        <w:spacing w:after="0" w:before="0" w:line="240" w:lineRule="auto"/>
      </w:pPr>
      <w:rPr>
        <w:b/>
        <w:bCs/>
      </w:rPr>
      <w:tblPr/>
      <w:tcPr>
        <w:tcBorders>
          <w:top w:color="9BBB59" w:space="0" w:sz="8" w:themeColor="accent3" w:val="single"/>
          <w:left w:val="nil"/>
          <w:bottom w:color="9BBB59" w:space="0" w:sz="8" w:themeColor="accent3"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left w:val="nil"/>
          <w:right w:val="nil"/>
          <w:insideH w:val="nil"/>
          <w:insideV w:val="nil"/>
        </w:tcBorders>
        <w:shd w:color="auto" w:fill="E6EED5" w:themeFill="accent3" w:themeFillTint="3F" w:val="clear"/>
      </w:tcPr>
    </w:tblStylePr>
  </w:style>
  <w:style w:styleId="LightShading-Accent4" w:type="table">
    <w:name w:val="Light Shading Accent 4"/>
    <w:basedOn w:val="TableNormal"/>
    <w:uiPriority w:val="60"/>
    <w:rsid w:val="00FC693F"/>
    <w:pPr>
      <w:spacing w:after="0" w:line="240" w:lineRule="auto"/>
    </w:pPr>
    <w:rPr>
      <w:color w:themeColor="accent4" w:themeShade="BF" w:val="5F497A"/>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lastRow">
      <w:pPr>
        <w:spacing w:after="0" w:before="0" w:line="240" w:lineRule="auto"/>
      </w:pPr>
      <w:rPr>
        <w:b/>
        <w:bCs/>
      </w:rPr>
      <w:tblPr/>
      <w:tcPr>
        <w:tcBorders>
          <w:top w:color="8064A2" w:space="0" w:sz="8" w:themeColor="accent4" w:val="single"/>
          <w:left w:val="nil"/>
          <w:bottom w:color="8064A2" w:space="0" w:sz="8" w:themeColor="accent4"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left w:val="nil"/>
          <w:right w:val="nil"/>
          <w:insideH w:val="nil"/>
          <w:insideV w:val="nil"/>
        </w:tcBorders>
        <w:shd w:color="auto" w:fill="DFD8E8" w:themeFill="accent4" w:themeFillTint="3F" w:val="clear"/>
      </w:tcPr>
    </w:tblStylePr>
  </w:style>
  <w:style w:styleId="LightShading-Accent5" w:type="table">
    <w:name w:val="Light Shading Accent 5"/>
    <w:basedOn w:val="TableNormal"/>
    <w:uiPriority w:val="60"/>
    <w:rsid w:val="00FC693F"/>
    <w:pPr>
      <w:spacing w:after="0" w:line="240" w:lineRule="auto"/>
    </w:pPr>
    <w:rPr>
      <w:color w:themeColor="accent5" w:themeShade="BF" w:val="31849B"/>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lastRow">
      <w:pPr>
        <w:spacing w:after="0" w:before="0" w:line="240" w:lineRule="auto"/>
      </w:pPr>
      <w:rPr>
        <w:b/>
        <w:bCs/>
      </w:rPr>
      <w:tblPr/>
      <w:tcPr>
        <w:tcBorders>
          <w:top w:color="4BACC6" w:space="0" w:sz="8" w:themeColor="accent5" w:val="single"/>
          <w:left w:val="nil"/>
          <w:bottom w:color="4BACC6" w:space="0" w:sz="8" w:themeColor="accent5"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left w:val="nil"/>
          <w:right w:val="nil"/>
          <w:insideH w:val="nil"/>
          <w:insideV w:val="nil"/>
        </w:tcBorders>
        <w:shd w:color="auto" w:fill="D2EAF1" w:themeFill="accent5" w:themeFillTint="3F" w:val="clear"/>
      </w:tcPr>
    </w:tblStylePr>
  </w:style>
  <w:style w:styleId="LightShading-Accent6" w:type="table">
    <w:name w:val="Light Shading Accent 6"/>
    <w:basedOn w:val="TableNormal"/>
    <w:uiPriority w:val="60"/>
    <w:rsid w:val="00FC693F"/>
    <w:pPr>
      <w:spacing w:after="0" w:line="240" w:lineRule="auto"/>
    </w:pPr>
    <w:rPr>
      <w:color w:themeColor="accent6" w:themeShade="BF" w:val="E36C0A"/>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lastRow">
      <w:pPr>
        <w:spacing w:after="0" w:before="0" w:line="240" w:lineRule="auto"/>
      </w:pPr>
      <w:rPr>
        <w:b/>
        <w:bCs/>
      </w:rPr>
      <w:tblPr/>
      <w:tcPr>
        <w:tcBorders>
          <w:top w:color="F79646" w:space="0" w:sz="8" w:themeColor="accent6" w:val="single"/>
          <w:left w:val="nil"/>
          <w:bottom w:color="F79646" w:space="0" w:sz="8" w:themeColor="accent6" w:val="singl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left w:val="nil"/>
          <w:right w:val="nil"/>
          <w:insideH w:val="nil"/>
          <w:insideV w:val="nil"/>
        </w:tcBorders>
        <w:shd w:color="auto" w:fill="FDE4D0" w:themeFill="accent6" w:themeFillTint="3F" w:val="clear"/>
      </w:tcPr>
    </w:tblStylePr>
  </w:style>
  <w:style w:styleId="LightList" w:type="table">
    <w:name w:val="Light List"/>
    <w:basedOn w:val="TableNormal"/>
    <w:uiPriority w:val="61"/>
    <w:rsid w:val="00FC693F"/>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000000" w:themeFill="text1" w:val="clear"/>
      </w:tcPr>
    </w:tblStylePr>
    <w:tblStylePr w:type="lastRow">
      <w:pPr>
        <w:spacing w:after="0" w:before="0" w:line="240" w:lineRule="auto"/>
      </w:pPr>
      <w:rPr>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bCs/>
      </w:rPr>
    </w:tblStylePr>
    <w:tblStylePr w:type="lastCol">
      <w:rPr>
        <w:b/>
        <w:bCs/>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styleId="LightList-Accent1" w:type="table">
    <w:name w:val="Light List Accent 1"/>
    <w:basedOn w:val="TableNormal"/>
    <w:uiPriority w:val="61"/>
    <w:rsid w:val="00FC693F"/>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F81BD" w:themeFill="accent1" w:val="clear"/>
      </w:tcPr>
    </w:tblStylePr>
    <w:tblStylePr w:type="lastRow">
      <w:pPr>
        <w:spacing w:after="0" w:before="0" w:line="240" w:lineRule="auto"/>
      </w:pPr>
      <w:rPr>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bCs/>
      </w:rPr>
    </w:tblStylePr>
    <w:tblStylePr w:type="lastCol">
      <w:rPr>
        <w:b/>
        <w:bCs/>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styleId="LightList-Accent2" w:type="table">
    <w:name w:val="Light List Accent 2"/>
    <w:basedOn w:val="TableNormal"/>
    <w:uiPriority w:val="61"/>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C0504D" w:themeFill="accent2" w:val="clear"/>
      </w:tcPr>
    </w:tblStylePr>
    <w:tblStylePr w:type="lastRow">
      <w:pPr>
        <w:spacing w:after="0" w:before="0" w:line="240" w:lineRule="auto"/>
      </w:pPr>
      <w:rPr>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tcBorders>
      </w:tcPr>
    </w:tblStylePr>
    <w:tblStylePr w:type="firstCol">
      <w:rPr>
        <w:b/>
        <w:bCs/>
      </w:rPr>
    </w:tblStylePr>
    <w:tblStylePr w:type="lastCol">
      <w:rPr>
        <w:b/>
        <w:bCs/>
      </w:r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style>
  <w:style w:styleId="LightList-Accent3" w:type="table">
    <w:name w:val="Light List Accent 3"/>
    <w:basedOn w:val="TableNormal"/>
    <w:uiPriority w:val="61"/>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9BBB59" w:themeFill="accent3" w:val="clear"/>
      </w:tcPr>
    </w:tblStylePr>
    <w:tblStylePr w:type="lastRow">
      <w:pPr>
        <w:spacing w:after="0" w:before="0" w:line="240" w:lineRule="auto"/>
      </w:pPr>
      <w:rPr>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tcBorders>
      </w:tcPr>
    </w:tblStylePr>
    <w:tblStylePr w:type="firstCol">
      <w:rPr>
        <w:b/>
        <w:bCs/>
      </w:rPr>
    </w:tblStylePr>
    <w:tblStylePr w:type="lastCol">
      <w:rPr>
        <w:b/>
        <w:bCs/>
      </w:r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style>
  <w:style w:styleId="LightList-Accent4" w:type="table">
    <w:name w:val="Light List Accent 4"/>
    <w:basedOn w:val="TableNormal"/>
    <w:uiPriority w:val="61"/>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8064A2" w:themeFill="accent4" w:val="clear"/>
      </w:tcPr>
    </w:tblStylePr>
    <w:tblStylePr w:type="lastRow">
      <w:pPr>
        <w:spacing w:after="0" w:before="0" w:line="240" w:lineRule="auto"/>
      </w:pPr>
      <w:rPr>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tcBorders>
      </w:tcPr>
    </w:tblStylePr>
    <w:tblStylePr w:type="firstCol">
      <w:rPr>
        <w:b/>
        <w:bCs/>
      </w:rPr>
    </w:tblStylePr>
    <w:tblStylePr w:type="lastCol">
      <w:rPr>
        <w:b/>
        <w:bCs/>
      </w:r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style>
  <w:style w:styleId="LightList-Accent5" w:type="table">
    <w:name w:val="Light List Accent 5"/>
    <w:basedOn w:val="TableNormal"/>
    <w:uiPriority w:val="61"/>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4BACC6" w:themeFill="accent5" w:val="clear"/>
      </w:tcPr>
    </w:tblStylePr>
    <w:tblStylePr w:type="lastRow">
      <w:pPr>
        <w:spacing w:after="0" w:before="0" w:line="240" w:lineRule="auto"/>
      </w:pPr>
      <w:rPr>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bCs/>
      </w:rPr>
    </w:tblStylePr>
    <w:tblStylePr w:type="lastCol">
      <w:rPr>
        <w:b/>
        <w:bCs/>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styleId="LightList-Accent6" w:type="table">
    <w:name w:val="Light List Accent 6"/>
    <w:basedOn w:val="TableNormal"/>
    <w:uiPriority w:val="61"/>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shd w:color="auto" w:fill="F79646" w:themeFill="accent6" w:val="clear"/>
      </w:tcPr>
    </w:tblStylePr>
    <w:tblStylePr w:type="lastRow">
      <w:pPr>
        <w:spacing w:after="0" w:before="0" w:line="240" w:lineRule="auto"/>
      </w:pPr>
      <w:rPr>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tcBorders>
      </w:tcPr>
    </w:tblStylePr>
    <w:tblStylePr w:type="firstCol">
      <w:rPr>
        <w:b/>
        <w:bCs/>
      </w:rPr>
    </w:tblStylePr>
    <w:tblStylePr w:type="lastCol">
      <w:rPr>
        <w:b/>
        <w:bCs/>
      </w:r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style>
  <w:style w:styleId="LightGrid" w:type="table">
    <w:name w:val="Light Grid"/>
    <w:basedOn w:val="TableNormal"/>
    <w:uiPriority w:val="62"/>
    <w:rsid w:val="00CB0664"/>
    <w:pPr>
      <w:spacing w:after="0" w:line="240" w:lineRule="auto"/>
    </w:p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bCs/>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val="nil"/>
          <w:insideV w:color="000000" w:space="0" w:sz="8" w:themeColor="tex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styleId="LightGrid-Accent1" w:type="table">
    <w:name w:val="Light Grid Accent 1"/>
    <w:basedOn w:val="TableNormal"/>
    <w:uiPriority w:val="62"/>
    <w:rsid w:val="00CB0664"/>
    <w:pPr>
      <w:spacing w:after="0" w:line="240" w:lineRule="auto"/>
    </w:p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bCs/>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val="nil"/>
          <w:insideV w:color="4F81BD" w:space="0" w:sz="8" w:themeColor="accent1"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styleId="LightGrid-Accent2" w:type="table">
    <w:name w:val="Light Grid Accent 2"/>
    <w:basedOn w:val="TableNormal"/>
    <w:uiPriority w:val="62"/>
    <w:rsid w:val="00CB0664"/>
    <w:pPr>
      <w:spacing w:after="0" w:line="240" w:lineRule="auto"/>
    </w:p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18" w:themeColor="accent2" w:val="single"/>
          <w:right w:color="C0504D" w:space="0" w:sz="8" w:themeColor="accent2" w:val="single"/>
          <w:insideH w:val="nil"/>
          <w:insideV w:color="C0504D"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C0504D" w:space="0" w:sz="6" w:themeColor="accent2" w:val="double"/>
          <w:left w:color="C0504D" w:space="0" w:sz="8" w:themeColor="accent2" w:val="single"/>
          <w:bottom w:color="C0504D" w:space="0" w:sz="8" w:themeColor="accent2" w:val="single"/>
          <w:right w:color="C0504D" w:space="0" w:sz="8" w:themeColor="accent2" w:val="single"/>
          <w:insideH w:val="nil"/>
          <w:insideV w:color="C0504D"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tcPr>
    </w:tblStylePr>
    <w:tblStylePr w:type="band1Vert">
      <w:tblPr/>
      <w:tcPr>
        <w:tcBorders>
          <w:top w:color="C0504D" w:space="0" w:sz="8" w:themeColor="accent2" w:val="single"/>
          <w:left w:color="C0504D" w:space="0" w:sz="8" w:themeColor="accent2" w:val="single"/>
          <w:bottom w:color="C0504D" w:space="0" w:sz="8" w:themeColor="accent2" w:val="single"/>
          <w:right w:color="C0504D" w:space="0" w:sz="8" w:themeColor="accent2" w:val="single"/>
        </w:tcBorders>
        <w:shd w:color="auto" w:fill="EFD3D2" w:themeFill="accent2" w:themeFillTint="3F" w:val="clear"/>
      </w:tcPr>
    </w:tblStylePr>
    <w:tblStylePr w:type="band1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shd w:color="auto" w:fill="EFD3D2" w:themeFill="accent2" w:themeFillTint="3F" w:val="clear"/>
      </w:tcPr>
    </w:tblStylePr>
    <w:tblStylePr w:type="band2Horz">
      <w:tblPr/>
      <w:tcPr>
        <w:tcBorders>
          <w:top w:color="C0504D" w:space="0" w:sz="8" w:themeColor="accent2" w:val="single"/>
          <w:left w:color="C0504D" w:space="0" w:sz="8" w:themeColor="accent2" w:val="single"/>
          <w:bottom w:color="C0504D" w:space="0" w:sz="8" w:themeColor="accent2" w:val="single"/>
          <w:right w:color="C0504D" w:space="0" w:sz="8" w:themeColor="accent2" w:val="single"/>
          <w:insideV w:color="C0504D" w:space="0" w:sz="8" w:themeColor="accent2" w:val="single"/>
        </w:tcBorders>
      </w:tcPr>
    </w:tblStylePr>
  </w:style>
  <w:style w:styleId="LightGrid-Accent3" w:type="table">
    <w:name w:val="Light Grid Accent 3"/>
    <w:basedOn w:val="TableNormal"/>
    <w:uiPriority w:val="62"/>
    <w:rsid w:val="00CB0664"/>
    <w:pPr>
      <w:spacing w:after="0" w:line="240" w:lineRule="auto"/>
    </w:p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18" w:themeColor="accent3" w:val="single"/>
          <w:right w:color="9BBB59" w:space="0" w:sz="8" w:themeColor="accent3" w:val="single"/>
          <w:insideH w:val="nil"/>
          <w:insideV w:color="9BBB59" w:space="0" w:sz="8" w:themeColor="accent3" w:val="single"/>
        </w:tcBorders>
      </w:tcPr>
    </w:tblStylePr>
    <w:tblStylePr w:type="lastRow">
      <w:pPr>
        <w:spacing w:after="0" w:before="0" w:line="240" w:lineRule="auto"/>
      </w:pPr>
      <w:rPr>
        <w:rFonts w:asciiTheme="majorHAnsi" w:cstheme="majorBidi" w:eastAsiaTheme="majorEastAsia" w:hAnsiTheme="majorHAnsi"/>
        <w:b/>
        <w:bCs/>
      </w:rPr>
      <w:tblPr/>
      <w:tcPr>
        <w:tcBorders>
          <w:top w:color="9BBB59" w:space="0" w:sz="6" w:themeColor="accent3" w:val="double"/>
          <w:left w:color="9BBB59" w:space="0" w:sz="8" w:themeColor="accent3" w:val="single"/>
          <w:bottom w:color="9BBB59" w:space="0" w:sz="8" w:themeColor="accent3" w:val="single"/>
          <w:right w:color="9BBB59" w:space="0" w:sz="8" w:themeColor="accent3" w:val="single"/>
          <w:insideH w:val="nil"/>
          <w:insideV w:color="9BBB59" w:space="0" w:sz="8" w:themeColor="accent3"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tcPr>
    </w:tblStylePr>
    <w:tblStylePr w:type="band1Vert">
      <w:tblPr/>
      <w:tcPr>
        <w:tcBorders>
          <w:top w:color="9BBB59" w:space="0" w:sz="8" w:themeColor="accent3" w:val="single"/>
          <w:left w:color="9BBB59" w:space="0" w:sz="8" w:themeColor="accent3" w:val="single"/>
          <w:bottom w:color="9BBB59" w:space="0" w:sz="8" w:themeColor="accent3" w:val="single"/>
          <w:right w:color="9BBB59" w:space="0" w:sz="8" w:themeColor="accent3" w:val="single"/>
        </w:tcBorders>
        <w:shd w:color="auto" w:fill="E6EED5" w:themeFill="accent3" w:themeFillTint="3F" w:val="clear"/>
      </w:tcPr>
    </w:tblStylePr>
    <w:tblStylePr w:type="band1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shd w:color="auto" w:fill="E6EED5" w:themeFill="accent3" w:themeFillTint="3F" w:val="clear"/>
      </w:tcPr>
    </w:tblStylePr>
    <w:tblStylePr w:type="band2Horz">
      <w:tblPr/>
      <w:tcPr>
        <w:tcBorders>
          <w:top w:color="9BBB59" w:space="0" w:sz="8" w:themeColor="accent3" w:val="single"/>
          <w:left w:color="9BBB59" w:space="0" w:sz="8" w:themeColor="accent3" w:val="single"/>
          <w:bottom w:color="9BBB59" w:space="0" w:sz="8" w:themeColor="accent3" w:val="single"/>
          <w:right w:color="9BBB59" w:space="0" w:sz="8" w:themeColor="accent3" w:val="single"/>
          <w:insideV w:color="9BBB59" w:space="0" w:sz="8" w:themeColor="accent3" w:val="single"/>
        </w:tcBorders>
      </w:tcPr>
    </w:tblStylePr>
  </w:style>
  <w:style w:styleId="LightGrid-Accent4" w:type="table">
    <w:name w:val="Light Grid Accent 4"/>
    <w:basedOn w:val="TableNormal"/>
    <w:uiPriority w:val="62"/>
    <w:rsid w:val="00CB0664"/>
    <w:pPr>
      <w:spacing w:after="0" w:line="240" w:lineRule="auto"/>
    </w:p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18" w:themeColor="accent4" w:val="single"/>
          <w:right w:color="8064A2" w:space="0" w:sz="8" w:themeColor="accent4" w:val="single"/>
          <w:insideH w:val="nil"/>
          <w:insideV w:color="8064A2"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8064A2" w:space="0" w:sz="6" w:themeColor="accent4" w:val="double"/>
          <w:left w:color="8064A2" w:space="0" w:sz="8" w:themeColor="accent4" w:val="single"/>
          <w:bottom w:color="8064A2" w:space="0" w:sz="8" w:themeColor="accent4" w:val="single"/>
          <w:right w:color="8064A2" w:space="0" w:sz="8" w:themeColor="accent4" w:val="single"/>
          <w:insideH w:val="nil"/>
          <w:insideV w:color="8064A2"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tcPr>
    </w:tblStylePr>
    <w:tblStylePr w:type="band1Vert">
      <w:tblPr/>
      <w:tcPr>
        <w:tcBorders>
          <w:top w:color="8064A2" w:space="0" w:sz="8" w:themeColor="accent4" w:val="single"/>
          <w:left w:color="8064A2" w:space="0" w:sz="8" w:themeColor="accent4" w:val="single"/>
          <w:bottom w:color="8064A2" w:space="0" w:sz="8" w:themeColor="accent4" w:val="single"/>
          <w:right w:color="8064A2" w:space="0" w:sz="8" w:themeColor="accent4" w:val="single"/>
        </w:tcBorders>
        <w:shd w:color="auto" w:fill="DFD8E8" w:themeFill="accent4" w:themeFillTint="3F" w:val="clear"/>
      </w:tcPr>
    </w:tblStylePr>
    <w:tblStylePr w:type="band1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shd w:color="auto" w:fill="DFD8E8" w:themeFill="accent4" w:themeFillTint="3F" w:val="clear"/>
      </w:tcPr>
    </w:tblStylePr>
    <w:tblStylePr w:type="band2Horz">
      <w:tblPr/>
      <w:tcPr>
        <w:tcBorders>
          <w:top w:color="8064A2" w:space="0" w:sz="8" w:themeColor="accent4" w:val="single"/>
          <w:left w:color="8064A2" w:space="0" w:sz="8" w:themeColor="accent4" w:val="single"/>
          <w:bottom w:color="8064A2" w:space="0" w:sz="8" w:themeColor="accent4" w:val="single"/>
          <w:right w:color="8064A2" w:space="0" w:sz="8" w:themeColor="accent4" w:val="single"/>
          <w:insideV w:color="8064A2" w:space="0" w:sz="8" w:themeColor="accent4" w:val="single"/>
        </w:tcBorders>
      </w:tcPr>
    </w:tblStylePr>
  </w:style>
  <w:style w:styleId="LightGrid-Accent5" w:type="table">
    <w:name w:val="Light Grid Accent 5"/>
    <w:basedOn w:val="TableNormal"/>
    <w:uiPriority w:val="62"/>
    <w:rsid w:val="00CB0664"/>
    <w:pPr>
      <w:spacing w:after="0" w:line="240" w:lineRule="auto"/>
    </w:p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bCs/>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val="nil"/>
          <w:insideV w:color="4BACC6" w:space="0" w:sz="8" w:themeColor="accent5"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styleId="LightGrid-Accent6" w:type="table">
    <w:name w:val="Light Grid Accent 6"/>
    <w:basedOn w:val="TableNormal"/>
    <w:uiPriority w:val="62"/>
    <w:rsid w:val="00CB0664"/>
    <w:pPr>
      <w:spacing w:after="0" w:line="240" w:lineRule="auto"/>
    </w:p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blStylePr w:type="firstRow">
      <w:pPr>
        <w:spacing w:after="0" w:before="0" w:line="240" w:lineRule="auto"/>
      </w:pPr>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18" w:themeColor="accent6" w:val="single"/>
          <w:right w:color="F79646" w:space="0" w:sz="8" w:themeColor="accent6" w:val="single"/>
          <w:insideH w:val="nil"/>
          <w:insideV w:color="F79646" w:space="0" w:sz="8" w:themeColor="accent6" w:val="single"/>
        </w:tcBorders>
      </w:tcPr>
    </w:tblStylePr>
    <w:tblStylePr w:type="lastRow">
      <w:pPr>
        <w:spacing w:after="0" w:before="0" w:line="240" w:lineRule="auto"/>
      </w:pPr>
      <w:rPr>
        <w:rFonts w:asciiTheme="majorHAnsi" w:cstheme="majorBidi" w:eastAsiaTheme="majorEastAsia" w:hAnsiTheme="majorHAnsi"/>
        <w:b/>
        <w:bCs/>
      </w:rPr>
      <w:tblPr/>
      <w:tcPr>
        <w:tcBorders>
          <w:top w:color="F79646" w:space="0" w:sz="6" w:themeColor="accent6" w:val="double"/>
          <w:left w:color="F79646" w:space="0" w:sz="8" w:themeColor="accent6" w:val="single"/>
          <w:bottom w:color="F79646" w:space="0" w:sz="8" w:themeColor="accent6" w:val="single"/>
          <w:right w:color="F79646" w:space="0" w:sz="8" w:themeColor="accent6" w:val="single"/>
          <w:insideH w:val="nil"/>
          <w:insideV w:color="F79646" w:space="0" w:sz="8" w:themeColor="accent6"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tcPr>
    </w:tblStylePr>
    <w:tblStylePr w:type="band1Vert">
      <w:tblPr/>
      <w:tcPr>
        <w:tcBorders>
          <w:top w:color="F79646" w:space="0" w:sz="8" w:themeColor="accent6" w:val="single"/>
          <w:left w:color="F79646" w:space="0" w:sz="8" w:themeColor="accent6" w:val="single"/>
          <w:bottom w:color="F79646" w:space="0" w:sz="8" w:themeColor="accent6" w:val="single"/>
          <w:right w:color="F79646" w:space="0" w:sz="8" w:themeColor="accent6" w:val="single"/>
        </w:tcBorders>
        <w:shd w:color="auto" w:fill="FDE4D0" w:themeFill="accent6" w:themeFillTint="3F" w:val="clear"/>
      </w:tcPr>
    </w:tblStylePr>
    <w:tblStylePr w:type="band1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shd w:color="auto" w:fill="FDE4D0" w:themeFill="accent6" w:themeFillTint="3F" w:val="clear"/>
      </w:tcPr>
    </w:tblStylePr>
    <w:tblStylePr w:type="band2Horz">
      <w:tblPr/>
      <w:tcPr>
        <w:tcBorders>
          <w:top w:color="F79646" w:space="0" w:sz="8" w:themeColor="accent6" w:val="single"/>
          <w:left w:color="F79646" w:space="0" w:sz="8" w:themeColor="accent6" w:val="single"/>
          <w:bottom w:color="F79646" w:space="0" w:sz="8" w:themeColor="accent6" w:val="single"/>
          <w:right w:color="F79646" w:space="0" w:sz="8" w:themeColor="accent6" w:val="single"/>
          <w:insideV w:color="F79646" w:space="0" w:sz="8" w:themeColor="accent6" w:val="single"/>
        </w:tcBorders>
      </w:tcPr>
    </w:tblStylePr>
  </w:style>
  <w:style w:styleId="MediumShading1" w:type="table">
    <w:name w:val="Medium Shading 1"/>
    <w:basedOn w:val="TableNormal"/>
    <w:uiPriority w:val="63"/>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val="nil"/>
          <w:insideV w:val="nil"/>
        </w:tcBorders>
        <w:shd w:color="auto" w:fill="000000" w:themeFill="text1" w:val="clear"/>
      </w:tcPr>
    </w:tblStylePr>
    <w:tblStylePr w:type="lastRow">
      <w:pPr>
        <w:spacing w:after="0" w:before="0" w:line="240" w:lineRule="auto"/>
      </w:pPr>
      <w:rPr>
        <w:b/>
        <w:bCs/>
      </w:rPr>
      <w:tblPr/>
      <w:tcPr>
        <w:tcBorders>
          <w:top w:color="404040" w:space="0" w:sz="6" w:themeColor="text1" w:themeTint="BF" w:val="double"/>
          <w:left w:color="404040" w:space="0" w:sz="8" w:themeColor="text1" w:themeTint="BF" w:val="single"/>
          <w:bottom w:color="404040" w:space="0" w:sz="8" w:themeColor="text1" w:themeTint="BF" w:val="single"/>
          <w:right w:color="404040" w:space="0" w:sz="8" w:themeColor="text1" w:themeTint="BF" w:val="single"/>
          <w:insideH w:val="nil"/>
          <w:insideV w:val="nil"/>
        </w:tcBorders>
      </w:tcPr>
    </w:tblStylePr>
    <w:tblStylePr w:type="firstCol">
      <w:rPr>
        <w:b/>
        <w:bCs/>
      </w:rPr>
    </w:tblStylePr>
    <w:tblStylePr w:type="lastCol">
      <w:rPr>
        <w:b/>
        <w:bCs/>
      </w:rPr>
    </w:tblStylePr>
    <w:tblStylePr w:type="band1Vert">
      <w:tblPr/>
      <w:tcPr>
        <w:shd w:color="auto" w:fill="C0C0C0" w:themeFill="text1" w:themeFillTint="3F" w:val="clear"/>
      </w:tcPr>
    </w:tblStylePr>
    <w:tblStylePr w:type="band1Horz">
      <w:tblPr/>
      <w:tcPr>
        <w:tcBorders>
          <w:insideH w:val="nil"/>
          <w:insideV w:val="nil"/>
        </w:tcBorders>
        <w:shd w:color="auto" w:fill="C0C0C0" w:themeFill="text1" w:themeFillTint="3F" w:val="clear"/>
      </w:tcPr>
    </w:tblStylePr>
    <w:tblStylePr w:type="band2Horz">
      <w:tblPr/>
      <w:tcPr>
        <w:tcBorders>
          <w:insideH w:val="nil"/>
          <w:insideV w:val="nil"/>
        </w:tcBorders>
      </w:tcPr>
    </w:tblStylePr>
  </w:style>
  <w:style w:styleId="MediumShading1-Accent1" w:type="table">
    <w:name w:val="Medium Shading 1 Accent 1"/>
    <w:basedOn w:val="TableNormal"/>
    <w:uiPriority w:val="63"/>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val="nil"/>
          <w:insideV w:val="nil"/>
        </w:tcBorders>
        <w:shd w:color="auto" w:fill="4F81BD" w:themeFill="accent1" w:val="clear"/>
      </w:tcPr>
    </w:tblStylePr>
    <w:tblStylePr w:type="lastRow">
      <w:pPr>
        <w:spacing w:after="0" w:before="0" w:line="240" w:lineRule="auto"/>
      </w:pPr>
      <w:rPr>
        <w:b/>
        <w:bCs/>
      </w:rPr>
      <w:tblPr/>
      <w:tcPr>
        <w:tcBorders>
          <w:top w:color="7BA0CD" w:space="0" w:sz="6" w:themeColor="accent1" w:themeTint="BF" w:val="double"/>
          <w:left w:color="7BA0CD" w:space="0" w:sz="8" w:themeColor="accent1" w:themeTint="BF" w:val="single"/>
          <w:bottom w:color="7BA0CD" w:space="0" w:sz="8" w:themeColor="accent1" w:themeTint="BF" w:val="single"/>
          <w:right w:color="7BA0CD"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D3DFEE" w:themeFill="accent1" w:themeFillTint="3F" w:val="clear"/>
      </w:tcPr>
    </w:tblStylePr>
    <w:tblStylePr w:type="band1Horz">
      <w:tblPr/>
      <w:tcPr>
        <w:tcBorders>
          <w:insideH w:val="nil"/>
          <w:insideV w:val="nil"/>
        </w:tcBorders>
        <w:shd w:color="auto" w:fill="D3DFEE" w:themeFill="accent1" w:themeFillTint="3F" w:val="clear"/>
      </w:tcPr>
    </w:tblStylePr>
    <w:tblStylePr w:type="band2Horz">
      <w:tblPr/>
      <w:tcPr>
        <w:tcBorders>
          <w:insideH w:val="nil"/>
          <w:insideV w:val="nil"/>
        </w:tcBorders>
      </w:tcPr>
    </w:tblStylePr>
  </w:style>
  <w:style w:styleId="MediumShading1-Accent2" w:type="table">
    <w:name w:val="Medium Shading 1 Accent 2"/>
    <w:basedOn w:val="TableNormal"/>
    <w:uiPriority w:val="63"/>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val="nil"/>
          <w:insideV w:val="nil"/>
        </w:tcBorders>
        <w:shd w:color="auto" w:fill="C0504D" w:themeFill="accent2" w:val="clear"/>
      </w:tcPr>
    </w:tblStylePr>
    <w:tblStylePr w:type="lastRow">
      <w:pPr>
        <w:spacing w:after="0" w:before="0" w:line="240" w:lineRule="auto"/>
      </w:pPr>
      <w:rPr>
        <w:b/>
        <w:bCs/>
      </w:rPr>
      <w:tblPr/>
      <w:tcPr>
        <w:tcBorders>
          <w:top w:color="CF7B79" w:space="0" w:sz="6" w:themeColor="accent2" w:themeTint="BF" w:val="double"/>
          <w:left w:color="CF7B79" w:space="0" w:sz="8" w:themeColor="accent2" w:themeTint="BF" w:val="single"/>
          <w:bottom w:color="CF7B79" w:space="0" w:sz="8" w:themeColor="accent2" w:themeTint="BF" w:val="single"/>
          <w:right w:color="CF7B79" w:space="0" w:sz="8" w:themeColor="accent2" w:themeTint="BF" w:val="single"/>
          <w:insideH w:val="nil"/>
          <w:insideV w:val="nil"/>
        </w:tcBorders>
      </w:tcPr>
    </w:tblStylePr>
    <w:tblStylePr w:type="firstCol">
      <w:rPr>
        <w:b/>
        <w:bCs/>
      </w:rPr>
    </w:tblStylePr>
    <w:tblStylePr w:type="lastCol">
      <w:rPr>
        <w:b/>
        <w:bCs/>
      </w:rPr>
    </w:tblStylePr>
    <w:tblStylePr w:type="band1Vert">
      <w:tblPr/>
      <w:tcPr>
        <w:shd w:color="auto" w:fill="EFD3D2" w:themeFill="accent2" w:themeFillTint="3F" w:val="clear"/>
      </w:tcPr>
    </w:tblStylePr>
    <w:tblStylePr w:type="band1Horz">
      <w:tblPr/>
      <w:tcPr>
        <w:tcBorders>
          <w:insideH w:val="nil"/>
          <w:insideV w:val="nil"/>
        </w:tcBorders>
        <w:shd w:color="auto" w:fill="EFD3D2" w:themeFill="accent2" w:themeFillTint="3F" w:val="clear"/>
      </w:tcPr>
    </w:tblStylePr>
    <w:tblStylePr w:type="band2Horz">
      <w:tblPr/>
      <w:tcPr>
        <w:tcBorders>
          <w:insideH w:val="nil"/>
          <w:insideV w:val="nil"/>
        </w:tcBorders>
      </w:tcPr>
    </w:tblStylePr>
  </w:style>
  <w:style w:styleId="MediumShading1-Accent3" w:type="table">
    <w:name w:val="Medium Shading 1 Accent 3"/>
    <w:basedOn w:val="TableNormal"/>
    <w:uiPriority w:val="63"/>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val="nil"/>
          <w:insideV w:val="nil"/>
        </w:tcBorders>
        <w:shd w:color="auto" w:fill="9BBB59" w:themeFill="accent3" w:val="clear"/>
      </w:tcPr>
    </w:tblStylePr>
    <w:tblStylePr w:type="lastRow">
      <w:pPr>
        <w:spacing w:after="0" w:before="0" w:line="240" w:lineRule="auto"/>
      </w:pPr>
      <w:rPr>
        <w:b/>
        <w:bCs/>
      </w:rPr>
      <w:tblPr/>
      <w:tcPr>
        <w:tcBorders>
          <w:top w:color="B3CC82" w:space="0" w:sz="6" w:themeColor="accent3" w:themeTint="BF" w:val="double"/>
          <w:left w:color="B3CC82" w:space="0" w:sz="8" w:themeColor="accent3" w:themeTint="BF" w:val="single"/>
          <w:bottom w:color="B3CC82" w:space="0" w:sz="8" w:themeColor="accent3" w:themeTint="BF" w:val="single"/>
          <w:right w:color="B3CC82" w:space="0" w:sz="8" w:themeColor="accent3" w:themeTint="BF" w:val="single"/>
          <w:insideH w:val="nil"/>
          <w:insideV w:val="nil"/>
        </w:tcBorders>
      </w:tcPr>
    </w:tblStylePr>
    <w:tblStylePr w:type="firstCol">
      <w:rPr>
        <w:b/>
        <w:bCs/>
      </w:rPr>
    </w:tblStylePr>
    <w:tblStylePr w:type="lastCol">
      <w:rPr>
        <w:b/>
        <w:bCs/>
      </w:rPr>
    </w:tblStylePr>
    <w:tblStylePr w:type="band1Vert">
      <w:tblPr/>
      <w:tcPr>
        <w:shd w:color="auto" w:fill="E6EED5" w:themeFill="accent3" w:themeFillTint="3F" w:val="clear"/>
      </w:tcPr>
    </w:tblStylePr>
    <w:tblStylePr w:type="band1Horz">
      <w:tblPr/>
      <w:tcPr>
        <w:tcBorders>
          <w:insideH w:val="nil"/>
          <w:insideV w:val="nil"/>
        </w:tcBorders>
        <w:shd w:color="auto" w:fill="E6EED5" w:themeFill="accent3" w:themeFillTint="3F" w:val="clear"/>
      </w:tcPr>
    </w:tblStylePr>
    <w:tblStylePr w:type="band2Horz">
      <w:tblPr/>
      <w:tcPr>
        <w:tcBorders>
          <w:insideH w:val="nil"/>
          <w:insideV w:val="nil"/>
        </w:tcBorders>
      </w:tcPr>
    </w:tblStylePr>
  </w:style>
  <w:style w:styleId="MediumShading1-Accent4" w:type="table">
    <w:name w:val="Medium Shading 1 Accent 4"/>
    <w:basedOn w:val="TableNormal"/>
    <w:uiPriority w:val="63"/>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val="nil"/>
          <w:insideV w:val="nil"/>
        </w:tcBorders>
        <w:shd w:color="auto" w:fill="8064A2" w:themeFill="accent4" w:val="clear"/>
      </w:tcPr>
    </w:tblStylePr>
    <w:tblStylePr w:type="lastRow">
      <w:pPr>
        <w:spacing w:after="0" w:before="0" w:line="240" w:lineRule="auto"/>
      </w:pPr>
      <w:rPr>
        <w:b/>
        <w:bCs/>
      </w:rPr>
      <w:tblPr/>
      <w:tcPr>
        <w:tcBorders>
          <w:top w:color="9F8AB9" w:space="0" w:sz="6" w:themeColor="accent4" w:themeTint="BF" w:val="double"/>
          <w:left w:color="9F8AB9" w:space="0" w:sz="8" w:themeColor="accent4" w:themeTint="BF" w:val="single"/>
          <w:bottom w:color="9F8AB9" w:space="0" w:sz="8" w:themeColor="accent4" w:themeTint="BF" w:val="single"/>
          <w:right w:color="9F8AB9" w:space="0" w:sz="8" w:themeColor="accent4" w:themeTint="BF" w:val="single"/>
          <w:insideH w:val="nil"/>
          <w:insideV w:val="nil"/>
        </w:tcBorders>
      </w:tcPr>
    </w:tblStylePr>
    <w:tblStylePr w:type="firstCol">
      <w:rPr>
        <w:b/>
        <w:bCs/>
      </w:rPr>
    </w:tblStylePr>
    <w:tblStylePr w:type="lastCol">
      <w:rPr>
        <w:b/>
        <w:bCs/>
      </w:rPr>
    </w:tblStylePr>
    <w:tblStylePr w:type="band1Vert">
      <w:tblPr/>
      <w:tcPr>
        <w:shd w:color="auto" w:fill="DFD8E8" w:themeFill="accent4" w:themeFillTint="3F" w:val="clear"/>
      </w:tcPr>
    </w:tblStylePr>
    <w:tblStylePr w:type="band1Horz">
      <w:tblPr/>
      <w:tcPr>
        <w:tcBorders>
          <w:insideH w:val="nil"/>
          <w:insideV w:val="nil"/>
        </w:tcBorders>
        <w:shd w:color="auto" w:fill="DFD8E8" w:themeFill="accent4" w:themeFillTint="3F" w:val="clear"/>
      </w:tcPr>
    </w:tblStylePr>
    <w:tblStylePr w:type="band2Horz">
      <w:tblPr/>
      <w:tcPr>
        <w:tcBorders>
          <w:insideH w:val="nil"/>
          <w:insideV w:val="nil"/>
        </w:tcBorders>
      </w:tcPr>
    </w:tblStylePr>
  </w:style>
  <w:style w:styleId="MediumShading1-Accent5" w:type="table">
    <w:name w:val="Medium Shading 1 Accent 5"/>
    <w:basedOn w:val="TableNormal"/>
    <w:uiPriority w:val="63"/>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val="nil"/>
          <w:insideV w:val="nil"/>
        </w:tcBorders>
        <w:shd w:color="auto" w:fill="4BACC6" w:themeFill="accent5" w:val="clear"/>
      </w:tcPr>
    </w:tblStylePr>
    <w:tblStylePr w:type="lastRow">
      <w:pPr>
        <w:spacing w:after="0" w:before="0" w:line="240" w:lineRule="auto"/>
      </w:pPr>
      <w:rPr>
        <w:b/>
        <w:bCs/>
      </w:rPr>
      <w:tblPr/>
      <w:tcPr>
        <w:tcBorders>
          <w:top w:color="78C0D4" w:space="0" w:sz="6" w:themeColor="accent5" w:themeTint="BF" w:val="double"/>
          <w:left w:color="78C0D4" w:space="0" w:sz="8" w:themeColor="accent5" w:themeTint="BF" w:val="single"/>
          <w:bottom w:color="78C0D4" w:space="0" w:sz="8" w:themeColor="accent5" w:themeTint="BF" w:val="single"/>
          <w:right w:color="78C0D4"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D2EAF1" w:themeFill="accent5" w:themeFillTint="3F" w:val="clear"/>
      </w:tcPr>
    </w:tblStylePr>
    <w:tblStylePr w:type="band1Horz">
      <w:tblPr/>
      <w:tcPr>
        <w:tcBorders>
          <w:insideH w:val="nil"/>
          <w:insideV w:val="nil"/>
        </w:tcBorders>
        <w:shd w:color="auto" w:fill="D2EAF1" w:themeFill="accent5" w:themeFillTint="3F" w:val="clear"/>
      </w:tcPr>
    </w:tblStylePr>
    <w:tblStylePr w:type="band2Horz">
      <w:tblPr/>
      <w:tcPr>
        <w:tcBorders>
          <w:insideH w:val="nil"/>
          <w:insideV w:val="nil"/>
        </w:tcBorders>
      </w:tcPr>
    </w:tblStylePr>
  </w:style>
  <w:style w:styleId="MediumShading1-Accent6" w:type="table">
    <w:name w:val="Medium Shading 1 Accent 6"/>
    <w:basedOn w:val="TableNormal"/>
    <w:uiPriority w:val="63"/>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val="nil"/>
          <w:insideV w:val="nil"/>
        </w:tcBorders>
        <w:shd w:color="auto" w:fill="F79646" w:themeFill="accent6" w:val="clear"/>
      </w:tcPr>
    </w:tblStylePr>
    <w:tblStylePr w:type="lastRow">
      <w:pPr>
        <w:spacing w:after="0" w:before="0" w:line="240" w:lineRule="auto"/>
      </w:pPr>
      <w:rPr>
        <w:b/>
        <w:bCs/>
      </w:rPr>
      <w:tblPr/>
      <w:tcPr>
        <w:tcBorders>
          <w:top w:color="F9B074" w:space="0" w:sz="6" w:themeColor="accent6" w:themeTint="BF" w:val="double"/>
          <w:left w:color="F9B074" w:space="0" w:sz="8" w:themeColor="accent6" w:themeTint="BF" w:val="single"/>
          <w:bottom w:color="F9B074" w:space="0" w:sz="8" w:themeColor="accent6" w:themeTint="BF" w:val="single"/>
          <w:right w:color="F9B07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DE4D0" w:themeFill="accent6" w:themeFillTint="3F" w:val="clear"/>
      </w:tcPr>
    </w:tblStylePr>
    <w:tblStylePr w:type="band1Horz">
      <w:tblPr/>
      <w:tcPr>
        <w:tcBorders>
          <w:insideH w:val="nil"/>
          <w:insideV w:val="nil"/>
        </w:tcBorders>
        <w:shd w:color="auto" w:fill="FDE4D0" w:themeFill="accent6" w:themeFillTint="3F" w:val="clear"/>
      </w:tcPr>
    </w:tblStylePr>
    <w:tblStylePr w:type="band2Horz">
      <w:tblPr/>
      <w:tcPr>
        <w:tcBorders>
          <w:insideH w:val="nil"/>
          <w:insideV w:val="nil"/>
        </w:tcBorders>
      </w:tcPr>
    </w:tblStylePr>
  </w:style>
  <w:style w:styleId="MediumShading2" w:type="table">
    <w:name w:val="Medium Shading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000000" w:themeFill="tex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000000" w:themeFill="text1" w:val="clear"/>
      </w:tcPr>
    </w:tblStylePr>
    <w:tblStylePr w:type="lastCol">
      <w:rPr>
        <w:b/>
        <w:bCs/>
        <w:color w:themeColor="background1" w:val="FFFFFF"/>
      </w:rPr>
      <w:tblPr/>
      <w:tcPr>
        <w:tcBorders>
          <w:left w:val="nil"/>
          <w:right w:val="nil"/>
          <w:insideH w:val="nil"/>
          <w:insideV w:val="nil"/>
        </w:tcBorders>
        <w:shd w:color="auto" w:fill="000000" w:themeFill="tex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1" w:type="table">
    <w:name w:val="Medium Shading 2 Accent 1"/>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F81BD" w:themeFill="accent1"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F81BD" w:themeFill="accent1" w:val="clear"/>
      </w:tcPr>
    </w:tblStylePr>
    <w:tblStylePr w:type="lastCol">
      <w:rPr>
        <w:b/>
        <w:bCs/>
        <w:color w:themeColor="background1" w:val="FFFFFF"/>
      </w:rPr>
      <w:tblPr/>
      <w:tcPr>
        <w:tcBorders>
          <w:left w:val="nil"/>
          <w:right w:val="nil"/>
          <w:insideH w:val="nil"/>
          <w:insideV w:val="nil"/>
        </w:tcBorders>
        <w:shd w:color="auto" w:fill="4F81BD" w:themeFill="accent1"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2" w:type="table">
    <w:name w:val="Medium Shading 2 Accent 2"/>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C0504D" w:themeFill="accent2"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C0504D" w:themeFill="accent2" w:val="clear"/>
      </w:tcPr>
    </w:tblStylePr>
    <w:tblStylePr w:type="lastCol">
      <w:rPr>
        <w:b/>
        <w:bCs/>
        <w:color w:themeColor="background1" w:val="FFFFFF"/>
      </w:rPr>
      <w:tblPr/>
      <w:tcPr>
        <w:tcBorders>
          <w:left w:val="nil"/>
          <w:right w:val="nil"/>
          <w:insideH w:val="nil"/>
          <w:insideV w:val="nil"/>
        </w:tcBorders>
        <w:shd w:color="auto" w:fill="C0504D" w:themeFill="accent2"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3" w:type="table">
    <w:name w:val="Medium Shading 2 Accent 3"/>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9BBB59" w:themeFill="accent3"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9BBB59" w:themeFill="accent3" w:val="clear"/>
      </w:tcPr>
    </w:tblStylePr>
    <w:tblStylePr w:type="lastCol">
      <w:rPr>
        <w:b/>
        <w:bCs/>
        <w:color w:themeColor="background1" w:val="FFFFFF"/>
      </w:rPr>
      <w:tblPr/>
      <w:tcPr>
        <w:tcBorders>
          <w:left w:val="nil"/>
          <w:right w:val="nil"/>
          <w:insideH w:val="nil"/>
          <w:insideV w:val="nil"/>
        </w:tcBorders>
        <w:shd w:color="auto" w:fill="9BBB59" w:themeFill="accent3"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4" w:type="table">
    <w:name w:val="Medium Shading 2 Accent 4"/>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8064A2" w:themeFill="accent4"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8064A2" w:themeFill="accent4" w:val="clear"/>
      </w:tcPr>
    </w:tblStylePr>
    <w:tblStylePr w:type="lastCol">
      <w:rPr>
        <w:b/>
        <w:bCs/>
        <w:color w:themeColor="background1" w:val="FFFFFF"/>
      </w:rPr>
      <w:tblPr/>
      <w:tcPr>
        <w:tcBorders>
          <w:left w:val="nil"/>
          <w:right w:val="nil"/>
          <w:insideH w:val="nil"/>
          <w:insideV w:val="nil"/>
        </w:tcBorders>
        <w:shd w:color="auto" w:fill="8064A2" w:themeFill="accent4"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5" w:type="table">
    <w:name w:val="Medium Shading 2 Accent 5"/>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4BACC6" w:themeFill="accent5"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4BACC6" w:themeFill="accent5" w:val="clear"/>
      </w:tcPr>
    </w:tblStylePr>
    <w:tblStylePr w:type="lastCol">
      <w:rPr>
        <w:b/>
        <w:bCs/>
        <w:color w:themeColor="background1" w:val="FFFFFF"/>
      </w:rPr>
      <w:tblPr/>
      <w:tcPr>
        <w:tcBorders>
          <w:left w:val="nil"/>
          <w:right w:val="nil"/>
          <w:insideH w:val="nil"/>
          <w:insideV w:val="nil"/>
        </w:tcBorders>
        <w:shd w:color="auto" w:fill="4BACC6" w:themeFill="accent5"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Shading2-Accent6" w:type="table">
    <w:name w:val="Medium Shading 2 Accent 6"/>
    <w:basedOn w:val="TableNormal"/>
    <w:uiPriority w:val="64"/>
    <w:rsid w:val="00CB0664"/>
    <w:pPr>
      <w:spacing w:after="0" w:line="240" w:lineRule="auto"/>
    </w:pPr>
    <w:tblPr>
      <w:tblStyleRowBandSize w:val="1"/>
      <w:tblStyleColBandSize w:val="1"/>
      <w:tblInd w:type="dxa" w:w="0"/>
      <w:tblBorders>
        <w:top w:color="auto" w:space="0" w:sz="18" w:val="single"/>
        <w:bottom w:color="auto" w:space="0" w:sz="18" w:val="single"/>
      </w:tblBorders>
      <w:tblCellMar>
        <w:top w:type="dxa" w:w="0"/>
        <w:left w:type="dxa" w:w="108"/>
        <w:bottom w:type="dxa" w:w="0"/>
        <w:right w:type="dxa" w:w="108"/>
      </w:tblCellMar>
    </w:tblPr>
    <w:tblStylePr w:type="firstRow">
      <w:pPr>
        <w:spacing w:after="0" w:before="0" w:line="240" w:lineRule="auto"/>
      </w:pPr>
      <w:rPr>
        <w:b/>
        <w:bCs/>
        <w:color w:themeColor="background1" w:val="FFFFFF"/>
      </w:rPr>
      <w:tblPr/>
      <w:tcPr>
        <w:tcBorders>
          <w:top w:color="auto" w:space="0" w:sz="18" w:val="single"/>
          <w:left w:val="nil"/>
          <w:bottom w:color="auto" w:space="0" w:sz="18" w:val="single"/>
          <w:right w:val="nil"/>
          <w:insideH w:val="nil"/>
          <w:insideV w:val="nil"/>
        </w:tcBorders>
        <w:shd w:color="auto" w:fill="F79646" w:themeFill="accent6" w:val="clear"/>
      </w:tcPr>
    </w:tblStylePr>
    <w:tblStylePr w:type="lastRow">
      <w:pPr>
        <w:spacing w:after="0" w:before="0" w:line="240" w:lineRule="auto"/>
      </w:pPr>
      <w:rPr>
        <w:color w:val="auto"/>
      </w:rPr>
      <w:tblPr/>
      <w:tcPr>
        <w:tcBorders>
          <w:top w:color="auto" w:space="0" w:sz="6" w:val="double"/>
          <w:left w:val="nil"/>
          <w:bottom w:color="auto" w:space="0" w:sz="18" w:val="single"/>
          <w:right w:val="nil"/>
          <w:insideH w:val="nil"/>
          <w:insideV w:val="nil"/>
        </w:tcBorders>
        <w:shd w:color="auto" w:fill="FFFFFF" w:themeFill="background1" w:val="clear"/>
      </w:tcPr>
    </w:tblStylePr>
    <w:tblStylePr w:type="firstCol">
      <w:rPr>
        <w:b/>
        <w:bCs/>
        <w:color w:themeColor="background1" w:val="FFFFFF"/>
      </w:rPr>
      <w:tblPr/>
      <w:tcPr>
        <w:tcBorders>
          <w:top w:val="nil"/>
          <w:left w:val="nil"/>
          <w:bottom w:color="auto" w:space="0" w:sz="18" w:val="single"/>
          <w:right w:val="nil"/>
          <w:insideH w:val="nil"/>
          <w:insideV w:val="nil"/>
        </w:tcBorders>
        <w:shd w:color="auto" w:fill="F79646" w:themeFill="accent6" w:val="clear"/>
      </w:tcPr>
    </w:tblStylePr>
    <w:tblStylePr w:type="lastCol">
      <w:rPr>
        <w:b/>
        <w:bCs/>
        <w:color w:themeColor="background1" w:val="FFFFFF"/>
      </w:rPr>
      <w:tblPr/>
      <w:tcPr>
        <w:tcBorders>
          <w:left w:val="nil"/>
          <w:right w:val="nil"/>
          <w:insideH w:val="nil"/>
          <w:insideV w:val="nil"/>
        </w:tcBorders>
        <w:shd w:color="auto" w:fill="F79646" w:themeFill="accent6" w:val="clear"/>
      </w:tcPr>
    </w:tblStylePr>
    <w:tblStylePr w:type="band1Vert">
      <w:tblPr/>
      <w:tcPr>
        <w:tcBorders>
          <w:left w:val="nil"/>
          <w:right w:val="nil"/>
          <w:insideH w:val="nil"/>
          <w:insideV w:val="nil"/>
        </w:tcBorders>
        <w:shd w:color="auto" w:fill="D8D8D8" w:themeFill="background1" w:themeFillShade="D8" w:val="clear"/>
      </w:tcPr>
    </w:tblStylePr>
    <w:tblStylePr w:type="band1Horz">
      <w:tblPr/>
      <w:tcPr>
        <w:shd w:color="auto" w:fill="D8D8D8" w:themeFill="background1" w:themeFillShade="D8" w:val="clear"/>
      </w:tcPr>
    </w:tblStylePr>
    <w:tblStylePr w:type="neCell">
      <w:tblPr/>
      <w:tcPr>
        <w:tcBorders>
          <w:top w:color="auto" w:space="0" w:sz="18" w:val="single"/>
          <w:left w:val="nil"/>
          <w:bottom w:color="auto" w:space="0" w:sz="18" w:val="single"/>
          <w:right w:val="nil"/>
          <w:insideH w:val="nil"/>
          <w:insideV w:val="nil"/>
        </w:tcBorders>
      </w:tcPr>
    </w:tblStylePr>
    <w:tblStylePr w:type="nwCell">
      <w:rPr>
        <w:color w:themeColor="background1" w:val="FFFFFF"/>
      </w:rPr>
      <w:tblPr/>
      <w:tcPr>
        <w:tcBorders>
          <w:top w:color="auto" w:space="0" w:sz="18" w:val="single"/>
          <w:left w:val="nil"/>
          <w:bottom w:color="auto" w:space="0" w:sz="18" w:val="single"/>
          <w:right w:val="nil"/>
          <w:insideH w:val="nil"/>
          <w:insideV w:val="nil"/>
        </w:tcBorders>
      </w:tcPr>
    </w:tblStylePr>
  </w:style>
  <w:style w:styleId="MediumList1" w:type="table">
    <w:name w:val="Medium List 1"/>
    <w:basedOn w:val="TableNormal"/>
    <w:uiPriority w:val="65"/>
    <w:rsid w:val="00CB0664"/>
    <w:pPr>
      <w:spacing w:after="0" w:line="240" w:lineRule="auto"/>
    </w:pPr>
    <w:rPr>
      <w:color w:themeColor="text1" w:val="000000"/>
    </w:rPr>
    <w:tblPr>
      <w:tblStyleRowBandSize w:val="1"/>
      <w:tblStyleColBandSize w:val="1"/>
      <w:tblInd w:type="dxa" w:w="0"/>
      <w:tblBorders>
        <w:top w:color="000000" w:space="0" w:sz="8" w:themeColor="text1" w:val="single"/>
        <w:bottom w:color="000000" w:space="0" w:sz="8" w:themeColor="tex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000000" w:space="0" w:sz="8" w:themeColor="text1" w:val="single"/>
        </w:tcBorders>
      </w:tcPr>
    </w:tblStylePr>
    <w:tblStylePr w:type="lastRow">
      <w:rPr>
        <w:b/>
        <w:bCs/>
        <w:color w:themeColor="text2" w:val="1F497D"/>
      </w:rPr>
      <w:tblPr/>
      <w:tcPr>
        <w:tcBorders>
          <w:top w:color="000000" w:space="0" w:sz="8" w:themeColor="text1" w:val="single"/>
          <w:bottom w:color="000000" w:space="0" w:sz="8" w:themeColor="text1" w:val="single"/>
        </w:tcBorders>
      </w:tcPr>
    </w:tblStylePr>
    <w:tblStylePr w:type="firstCol">
      <w:rPr>
        <w:b/>
        <w:bCs/>
      </w:rPr>
    </w:tblStylePr>
    <w:tblStylePr w:type="lastCol">
      <w:rPr>
        <w:b/>
        <w:bCs/>
      </w:rPr>
      <w:tblPr/>
      <w:tcPr>
        <w:tcBorders>
          <w:top w:color="000000" w:space="0" w:sz="8" w:themeColor="text1" w:val="single"/>
          <w:bottom w:color="000000" w:space="0" w:sz="8" w:themeColor="text1" w:val="single"/>
        </w:tcBorders>
      </w:tcPr>
    </w:tblStylePr>
    <w:tblStylePr w:type="band1Vert">
      <w:tblPr/>
      <w:tcPr>
        <w:shd w:color="auto" w:fill="C0C0C0" w:themeFill="text1" w:themeFillTint="3F" w:val="clear"/>
      </w:tcPr>
    </w:tblStylePr>
    <w:tblStylePr w:type="band1Horz">
      <w:tblPr/>
      <w:tcPr>
        <w:shd w:color="auto" w:fill="C0C0C0" w:themeFill="text1" w:themeFillTint="3F" w:val="clear"/>
      </w:tcPr>
    </w:tblStylePr>
  </w:style>
  <w:style w:styleId="MediumList1-Accent1" w:type="table">
    <w:name w:val="Medium List 1 Accent 1"/>
    <w:basedOn w:val="TableNormal"/>
    <w:uiPriority w:val="65"/>
    <w:rsid w:val="00CB0664"/>
    <w:pPr>
      <w:spacing w:after="0" w:line="240" w:lineRule="auto"/>
    </w:pPr>
    <w:rPr>
      <w:color w:themeColor="text1" w:val="000000"/>
    </w:rPr>
    <w:tblPr>
      <w:tblStyleRowBandSize w:val="1"/>
      <w:tblStyleColBandSize w:val="1"/>
      <w:tblInd w:type="dxa" w:w="0"/>
      <w:tblBorders>
        <w:top w:color="4F81BD" w:space="0" w:sz="8" w:themeColor="accent1" w:val="single"/>
        <w:bottom w:color="4F81BD" w:space="0" w:sz="8" w:themeColor="accent1"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F81BD" w:space="0" w:sz="8" w:themeColor="accent1" w:val="single"/>
        </w:tcBorders>
      </w:tcPr>
    </w:tblStylePr>
    <w:tblStylePr w:type="lastRow">
      <w:rPr>
        <w:b/>
        <w:bCs/>
        <w:color w:themeColor="text2" w:val="1F497D"/>
      </w:rPr>
      <w:tblPr/>
      <w:tcPr>
        <w:tcBorders>
          <w:top w:color="4F81BD" w:space="0" w:sz="8" w:themeColor="accent1" w:val="single"/>
          <w:bottom w:color="4F81BD" w:space="0" w:sz="8" w:themeColor="accent1" w:val="single"/>
        </w:tcBorders>
      </w:tcPr>
    </w:tblStylePr>
    <w:tblStylePr w:type="firstCol">
      <w:rPr>
        <w:b/>
        <w:bCs/>
      </w:rPr>
    </w:tblStylePr>
    <w:tblStylePr w:type="lastCol">
      <w:rPr>
        <w:b/>
        <w:bCs/>
      </w:rPr>
      <w:tblPr/>
      <w:tcPr>
        <w:tcBorders>
          <w:top w:color="4F81BD" w:space="0" w:sz="8" w:themeColor="accent1" w:val="single"/>
          <w:bottom w:color="4F81BD" w:space="0" w:sz="8" w:themeColor="accent1" w:val="single"/>
        </w:tcBorders>
      </w:tcPr>
    </w:tblStylePr>
    <w:tblStylePr w:type="band1Vert">
      <w:tblPr/>
      <w:tcPr>
        <w:shd w:color="auto" w:fill="D3DFEE" w:themeFill="accent1" w:themeFillTint="3F" w:val="clear"/>
      </w:tcPr>
    </w:tblStylePr>
    <w:tblStylePr w:type="band1Horz">
      <w:tblPr/>
      <w:tcPr>
        <w:shd w:color="auto" w:fill="D3DFEE" w:themeFill="accent1" w:themeFillTint="3F" w:val="clear"/>
      </w:tcPr>
    </w:tblStylePr>
  </w:style>
  <w:style w:styleId="MediumList1-Accent2" w:type="table">
    <w:name w:val="Medium List 1 Accent 2"/>
    <w:basedOn w:val="TableNormal"/>
    <w:uiPriority w:val="65"/>
    <w:rsid w:val="00CB0664"/>
    <w:pPr>
      <w:spacing w:after="0" w:line="240" w:lineRule="auto"/>
    </w:pPr>
    <w:rPr>
      <w:color w:themeColor="text1" w:val="000000"/>
    </w:rPr>
    <w:tblPr>
      <w:tblStyleRowBandSize w:val="1"/>
      <w:tblStyleColBandSize w:val="1"/>
      <w:tblInd w:type="dxa" w:w="0"/>
      <w:tblBorders>
        <w:top w:color="C0504D" w:space="0" w:sz="8" w:themeColor="accent2" w:val="single"/>
        <w:bottom w:color="C0504D" w:space="0" w:sz="8" w:themeColor="accent2"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C0504D" w:space="0" w:sz="8" w:themeColor="accent2" w:val="single"/>
        </w:tcBorders>
      </w:tcPr>
    </w:tblStylePr>
    <w:tblStylePr w:type="lastRow">
      <w:rPr>
        <w:b/>
        <w:bCs/>
        <w:color w:themeColor="text2" w:val="1F497D"/>
      </w:rPr>
      <w:tblPr/>
      <w:tcPr>
        <w:tcBorders>
          <w:top w:color="C0504D" w:space="0" w:sz="8" w:themeColor="accent2" w:val="single"/>
          <w:bottom w:color="C0504D" w:space="0" w:sz="8" w:themeColor="accent2" w:val="single"/>
        </w:tcBorders>
      </w:tcPr>
    </w:tblStylePr>
    <w:tblStylePr w:type="firstCol">
      <w:rPr>
        <w:b/>
        <w:bCs/>
      </w:rPr>
    </w:tblStylePr>
    <w:tblStylePr w:type="lastCol">
      <w:rPr>
        <w:b/>
        <w:bCs/>
      </w:rPr>
      <w:tblPr/>
      <w:tcPr>
        <w:tcBorders>
          <w:top w:color="C0504D" w:space="0" w:sz="8" w:themeColor="accent2" w:val="single"/>
          <w:bottom w:color="C0504D" w:space="0" w:sz="8" w:themeColor="accent2" w:val="single"/>
        </w:tcBorders>
      </w:tcPr>
    </w:tblStylePr>
    <w:tblStylePr w:type="band1Vert">
      <w:tblPr/>
      <w:tcPr>
        <w:shd w:color="auto" w:fill="EFD3D2" w:themeFill="accent2" w:themeFillTint="3F" w:val="clear"/>
      </w:tcPr>
    </w:tblStylePr>
    <w:tblStylePr w:type="band1Horz">
      <w:tblPr/>
      <w:tcPr>
        <w:shd w:color="auto" w:fill="EFD3D2" w:themeFill="accent2" w:themeFillTint="3F" w:val="clear"/>
      </w:tcPr>
    </w:tblStylePr>
  </w:style>
  <w:style w:styleId="MediumList1-Accent3" w:type="table">
    <w:name w:val="Medium List 1 Accent 3"/>
    <w:basedOn w:val="TableNormal"/>
    <w:uiPriority w:val="65"/>
    <w:rsid w:val="00CB0664"/>
    <w:pPr>
      <w:spacing w:after="0" w:line="240" w:lineRule="auto"/>
    </w:pPr>
    <w:rPr>
      <w:color w:themeColor="text1" w:val="000000"/>
    </w:rPr>
    <w:tblPr>
      <w:tblStyleRowBandSize w:val="1"/>
      <w:tblStyleColBandSize w:val="1"/>
      <w:tblInd w:type="dxa" w:w="0"/>
      <w:tblBorders>
        <w:top w:color="9BBB59" w:space="0" w:sz="8" w:themeColor="accent3" w:val="single"/>
        <w:bottom w:color="9BBB59" w:space="0" w:sz="8" w:themeColor="accent3"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9BBB59" w:space="0" w:sz="8" w:themeColor="accent3" w:val="single"/>
        </w:tcBorders>
      </w:tcPr>
    </w:tblStylePr>
    <w:tblStylePr w:type="lastRow">
      <w:rPr>
        <w:b/>
        <w:bCs/>
        <w:color w:themeColor="text2" w:val="1F497D"/>
      </w:rPr>
      <w:tblPr/>
      <w:tcPr>
        <w:tcBorders>
          <w:top w:color="9BBB59" w:space="0" w:sz="8" w:themeColor="accent3" w:val="single"/>
          <w:bottom w:color="9BBB59" w:space="0" w:sz="8" w:themeColor="accent3" w:val="single"/>
        </w:tcBorders>
      </w:tcPr>
    </w:tblStylePr>
    <w:tblStylePr w:type="firstCol">
      <w:rPr>
        <w:b/>
        <w:bCs/>
      </w:rPr>
    </w:tblStylePr>
    <w:tblStylePr w:type="lastCol">
      <w:rPr>
        <w:b/>
        <w:bCs/>
      </w:rPr>
      <w:tblPr/>
      <w:tcPr>
        <w:tcBorders>
          <w:top w:color="9BBB59" w:space="0" w:sz="8" w:themeColor="accent3" w:val="single"/>
          <w:bottom w:color="9BBB59" w:space="0" w:sz="8" w:themeColor="accent3" w:val="single"/>
        </w:tcBorders>
      </w:tcPr>
    </w:tblStylePr>
    <w:tblStylePr w:type="band1Vert">
      <w:tblPr/>
      <w:tcPr>
        <w:shd w:color="auto" w:fill="E6EED5" w:themeFill="accent3" w:themeFillTint="3F" w:val="clear"/>
      </w:tcPr>
    </w:tblStylePr>
    <w:tblStylePr w:type="band1Horz">
      <w:tblPr/>
      <w:tcPr>
        <w:shd w:color="auto" w:fill="E6EED5" w:themeFill="accent3" w:themeFillTint="3F" w:val="clear"/>
      </w:tcPr>
    </w:tblStylePr>
  </w:style>
  <w:style w:styleId="MediumList1-Accent4" w:type="table">
    <w:name w:val="Medium List 1 Accent 4"/>
    <w:basedOn w:val="TableNormal"/>
    <w:uiPriority w:val="65"/>
    <w:rsid w:val="00CB0664"/>
    <w:pPr>
      <w:spacing w:after="0" w:line="240" w:lineRule="auto"/>
    </w:pPr>
    <w:rPr>
      <w:color w:themeColor="text1" w:val="000000"/>
    </w:rPr>
    <w:tblPr>
      <w:tblStyleRowBandSize w:val="1"/>
      <w:tblStyleColBandSize w:val="1"/>
      <w:tblInd w:type="dxa" w:w="0"/>
      <w:tblBorders>
        <w:top w:color="8064A2" w:space="0" w:sz="8" w:themeColor="accent4" w:val="single"/>
        <w:bottom w:color="8064A2" w:space="0" w:sz="8" w:themeColor="accent4"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8064A2" w:space="0" w:sz="8" w:themeColor="accent4" w:val="single"/>
        </w:tcBorders>
      </w:tcPr>
    </w:tblStylePr>
    <w:tblStylePr w:type="lastRow">
      <w:rPr>
        <w:b/>
        <w:bCs/>
        <w:color w:themeColor="text2" w:val="1F497D"/>
      </w:rPr>
      <w:tblPr/>
      <w:tcPr>
        <w:tcBorders>
          <w:top w:color="8064A2" w:space="0" w:sz="8" w:themeColor="accent4" w:val="single"/>
          <w:bottom w:color="8064A2" w:space="0" w:sz="8" w:themeColor="accent4" w:val="single"/>
        </w:tcBorders>
      </w:tcPr>
    </w:tblStylePr>
    <w:tblStylePr w:type="firstCol">
      <w:rPr>
        <w:b/>
        <w:bCs/>
      </w:rPr>
    </w:tblStylePr>
    <w:tblStylePr w:type="lastCol">
      <w:rPr>
        <w:b/>
        <w:bCs/>
      </w:rPr>
      <w:tblPr/>
      <w:tcPr>
        <w:tcBorders>
          <w:top w:color="8064A2" w:space="0" w:sz="8" w:themeColor="accent4" w:val="single"/>
          <w:bottom w:color="8064A2" w:space="0" w:sz="8" w:themeColor="accent4" w:val="single"/>
        </w:tcBorders>
      </w:tcPr>
    </w:tblStylePr>
    <w:tblStylePr w:type="band1Vert">
      <w:tblPr/>
      <w:tcPr>
        <w:shd w:color="auto" w:fill="DFD8E8" w:themeFill="accent4" w:themeFillTint="3F" w:val="clear"/>
      </w:tcPr>
    </w:tblStylePr>
    <w:tblStylePr w:type="band1Horz">
      <w:tblPr/>
      <w:tcPr>
        <w:shd w:color="auto" w:fill="DFD8E8" w:themeFill="accent4" w:themeFillTint="3F" w:val="clear"/>
      </w:tcPr>
    </w:tblStylePr>
  </w:style>
  <w:style w:styleId="MediumList1-Accent5" w:type="table">
    <w:name w:val="Medium List 1 Accent 5"/>
    <w:basedOn w:val="TableNormal"/>
    <w:uiPriority w:val="65"/>
    <w:rsid w:val="00CB0664"/>
    <w:pPr>
      <w:spacing w:after="0" w:line="240" w:lineRule="auto"/>
    </w:pPr>
    <w:rPr>
      <w:color w:themeColor="text1" w:val="000000"/>
    </w:rPr>
    <w:tblPr>
      <w:tblStyleRowBandSize w:val="1"/>
      <w:tblStyleColBandSize w:val="1"/>
      <w:tblInd w:type="dxa" w:w="0"/>
      <w:tblBorders>
        <w:top w:color="4BACC6" w:space="0" w:sz="8" w:themeColor="accent5" w:val="single"/>
        <w:bottom w:color="4BACC6" w:space="0" w:sz="8" w:themeColor="accent5"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4BACC6" w:space="0" w:sz="8" w:themeColor="accent5" w:val="single"/>
        </w:tcBorders>
      </w:tcPr>
    </w:tblStylePr>
    <w:tblStylePr w:type="lastRow">
      <w:rPr>
        <w:b/>
        <w:bCs/>
        <w:color w:themeColor="text2" w:val="1F497D"/>
      </w:rPr>
      <w:tblPr/>
      <w:tcPr>
        <w:tcBorders>
          <w:top w:color="4BACC6" w:space="0" w:sz="8" w:themeColor="accent5" w:val="single"/>
          <w:bottom w:color="4BACC6" w:space="0" w:sz="8" w:themeColor="accent5" w:val="single"/>
        </w:tcBorders>
      </w:tcPr>
    </w:tblStylePr>
    <w:tblStylePr w:type="firstCol">
      <w:rPr>
        <w:b/>
        <w:bCs/>
      </w:rPr>
    </w:tblStylePr>
    <w:tblStylePr w:type="lastCol">
      <w:rPr>
        <w:b/>
        <w:bCs/>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3F" w:val="clear"/>
      </w:tcPr>
    </w:tblStylePr>
    <w:tblStylePr w:type="band1Horz">
      <w:tblPr/>
      <w:tcPr>
        <w:shd w:color="auto" w:fill="D2EAF1" w:themeFill="accent5" w:themeFillTint="3F" w:val="clear"/>
      </w:tcPr>
    </w:tblStylePr>
  </w:style>
  <w:style w:styleId="MediumList1-Accent6" w:type="table">
    <w:name w:val="Medium List 1 Accent 6"/>
    <w:basedOn w:val="TableNormal"/>
    <w:uiPriority w:val="65"/>
    <w:rsid w:val="00CB0664"/>
    <w:pPr>
      <w:spacing w:after="0" w:line="240" w:lineRule="auto"/>
    </w:pPr>
    <w:rPr>
      <w:color w:themeColor="text1" w:val="000000"/>
    </w:rPr>
    <w:tblPr>
      <w:tblStyleRowBandSize w:val="1"/>
      <w:tblStyleColBandSize w:val="1"/>
      <w:tblInd w:type="dxa" w:w="0"/>
      <w:tblBorders>
        <w:top w:color="F79646" w:space="0" w:sz="8" w:themeColor="accent6" w:val="single"/>
        <w:bottom w:color="F79646" w:space="0" w:sz="8" w:themeColor="accent6" w:val="single"/>
      </w:tblBorders>
      <w:tblCellMar>
        <w:top w:type="dxa" w:w="0"/>
        <w:left w:type="dxa" w:w="108"/>
        <w:bottom w:type="dxa" w:w="0"/>
        <w:right w:type="dxa" w:w="108"/>
      </w:tblCellMar>
    </w:tblPr>
    <w:tblStylePr w:type="firstRow">
      <w:rPr>
        <w:rFonts w:asciiTheme="majorHAnsi" w:cstheme="majorBidi" w:eastAsiaTheme="majorEastAsia" w:hAnsiTheme="majorHAnsi"/>
      </w:rPr>
      <w:tblPr/>
      <w:tcPr>
        <w:tcBorders>
          <w:top w:val="nil"/>
          <w:bottom w:color="F79646" w:space="0" w:sz="8" w:themeColor="accent6" w:val="single"/>
        </w:tcBorders>
      </w:tcPr>
    </w:tblStylePr>
    <w:tblStylePr w:type="lastRow">
      <w:rPr>
        <w:b/>
        <w:bCs/>
        <w:color w:themeColor="text2" w:val="1F497D"/>
      </w:rPr>
      <w:tblPr/>
      <w:tcPr>
        <w:tcBorders>
          <w:top w:color="F79646" w:space="0" w:sz="8" w:themeColor="accent6" w:val="single"/>
          <w:bottom w:color="F79646" w:space="0" w:sz="8" w:themeColor="accent6" w:val="single"/>
        </w:tcBorders>
      </w:tcPr>
    </w:tblStylePr>
    <w:tblStylePr w:type="firstCol">
      <w:rPr>
        <w:b/>
        <w:bCs/>
      </w:rPr>
    </w:tblStylePr>
    <w:tblStylePr w:type="lastCol">
      <w:rPr>
        <w:b/>
        <w:bCs/>
      </w:rPr>
      <w:tblPr/>
      <w:tcPr>
        <w:tcBorders>
          <w:top w:color="F79646" w:space="0" w:sz="8" w:themeColor="accent6" w:val="single"/>
          <w:bottom w:color="F79646" w:space="0" w:sz="8" w:themeColor="accent6" w:val="single"/>
        </w:tcBorders>
      </w:tcPr>
    </w:tblStylePr>
    <w:tblStylePr w:type="band1Vert">
      <w:tblPr/>
      <w:tcPr>
        <w:shd w:color="auto" w:fill="FDE4D0" w:themeFill="accent6" w:themeFillTint="3F" w:val="clear"/>
      </w:tcPr>
    </w:tblStylePr>
    <w:tblStylePr w:type="band1Horz">
      <w:tblPr/>
      <w:tcPr>
        <w:shd w:color="auto" w:fill="FDE4D0" w:themeFill="accent6" w:themeFillTint="3F" w:val="clear"/>
      </w:tcPr>
    </w:tblStylePr>
  </w:style>
  <w:style w:styleId="MediumList2" w:type="table">
    <w:name w:val="Medium Lis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type="dxa" w:w="0"/>
        <w:left w:type="dxa" w:w="108"/>
        <w:bottom w:type="dxa" w:w="0"/>
        <w:right w:type="dxa" w:w="108"/>
      </w:tblCellMar>
    </w:tblPr>
    <w:tblStylePr w:type="firstRow">
      <w:rPr>
        <w:sz w:val="24"/>
        <w:szCs w:val="24"/>
      </w:rPr>
      <w:tblPr/>
      <w:tcPr>
        <w:tcBorders>
          <w:top w:val="nil"/>
          <w:left w:val="nil"/>
          <w:bottom w:color="000000" w:space="0" w:sz="24" w:themeColor="text1" w:val="single"/>
          <w:right w:val="nil"/>
          <w:insideH w:val="nil"/>
          <w:insideV w:val="nil"/>
        </w:tcBorders>
        <w:shd w:color="auto" w:fill="FFFFFF" w:themeFill="background1" w:val="clear"/>
      </w:tcPr>
    </w:tblStylePr>
    <w:tblStylePr w:type="lastRow">
      <w:tblPr/>
      <w:tcPr>
        <w:tcBorders>
          <w:top w:color="000000" w:space="0" w:sz="8" w:themeColor="tex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000000" w:space="0" w:sz="8" w:themeColor="text1" w:val="single"/>
          <w:insideH w:val="nil"/>
          <w:insideV w:val="nil"/>
        </w:tcBorders>
        <w:shd w:color="auto" w:fill="FFFFFF" w:themeFill="background1" w:val="clear"/>
      </w:tcPr>
    </w:tblStylePr>
    <w:tblStylePr w:type="lastCol">
      <w:tblPr/>
      <w:tcPr>
        <w:tcBorders>
          <w:top w:val="nil"/>
          <w:left w:color="000000" w:space="0" w:sz="8" w:themeColor="tex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C0C0C0" w:themeFill="text1" w:themeFillTint="3F" w:val="clear"/>
      </w:tcPr>
    </w:tblStylePr>
    <w:tblStylePr w:type="band1Horz">
      <w:tblPr/>
      <w:tcPr>
        <w:tcBorders>
          <w:top w:val="nil"/>
          <w:bottom w:val="nil"/>
          <w:insideH w:val="nil"/>
          <w:insideV w:val="nil"/>
        </w:tcBorders>
        <w:shd w:color="auto" w:fill="C0C0C0" w:themeFill="tex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1" w:type="table">
    <w:name w:val="Medium List 2 Accent 1"/>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type="dxa" w:w="0"/>
        <w:left w:type="dxa" w:w="108"/>
        <w:bottom w:type="dxa" w:w="0"/>
        <w:right w:type="dxa" w:w="108"/>
      </w:tblCellMar>
    </w:tblPr>
    <w:tblStylePr w:type="firstRow">
      <w:rPr>
        <w:sz w:val="24"/>
        <w:szCs w:val="24"/>
      </w:rPr>
      <w:tblPr/>
      <w:tcPr>
        <w:tcBorders>
          <w:top w:val="nil"/>
          <w:left w:val="nil"/>
          <w:bottom w:color="4F81BD" w:space="0" w:sz="24" w:themeColor="accent1" w:val="single"/>
          <w:right w:val="nil"/>
          <w:insideH w:val="nil"/>
          <w:insideV w:val="nil"/>
        </w:tcBorders>
        <w:shd w:color="auto" w:fill="FFFFFF" w:themeFill="background1" w:val="clear"/>
      </w:tcPr>
    </w:tblStylePr>
    <w:tblStylePr w:type="lastRow">
      <w:tblPr/>
      <w:tcPr>
        <w:tcBorders>
          <w:top w:color="4F81BD" w:space="0" w:sz="8" w:themeColor="accent1"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F81BD" w:space="0" w:sz="8" w:themeColor="accent1" w:val="single"/>
          <w:insideH w:val="nil"/>
          <w:insideV w:val="nil"/>
        </w:tcBorders>
        <w:shd w:color="auto" w:fill="FFFFFF" w:themeFill="background1" w:val="clear"/>
      </w:tcPr>
    </w:tblStylePr>
    <w:tblStylePr w:type="lastCol">
      <w:tblPr/>
      <w:tcPr>
        <w:tcBorders>
          <w:top w:val="nil"/>
          <w:left w:color="4F81BD" w:space="0" w:sz="8" w:themeColor="accent1"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3DFEE" w:themeFill="accent1" w:themeFillTint="3F" w:val="clear"/>
      </w:tcPr>
    </w:tblStylePr>
    <w:tblStylePr w:type="band1Horz">
      <w:tblPr/>
      <w:tcPr>
        <w:tcBorders>
          <w:top w:val="nil"/>
          <w:bottom w:val="nil"/>
          <w:insideH w:val="nil"/>
          <w:insideV w:val="nil"/>
        </w:tcBorders>
        <w:shd w:color="auto" w:fill="D3DFEE" w:themeFill="accent1"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2" w:type="table">
    <w:name w:val="Medium List 2 Accent 2"/>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tblBorders>
      <w:tblCellMar>
        <w:top w:type="dxa" w:w="0"/>
        <w:left w:type="dxa" w:w="108"/>
        <w:bottom w:type="dxa" w:w="0"/>
        <w:right w:type="dxa" w:w="108"/>
      </w:tblCellMar>
    </w:tblPr>
    <w:tblStylePr w:type="firstRow">
      <w:rPr>
        <w:sz w:val="24"/>
        <w:szCs w:val="24"/>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tblPr/>
      <w:tcPr>
        <w:tcBorders>
          <w:top w:color="C0504D" w:space="0" w:sz="8" w:themeColor="accent2"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C0504D" w:space="0" w:sz="8" w:themeColor="accent2" w:val="single"/>
          <w:insideH w:val="nil"/>
          <w:insideV w:val="nil"/>
        </w:tcBorders>
        <w:shd w:color="auto" w:fill="FFFFFF" w:themeFill="background1" w:val="clear"/>
      </w:tcPr>
    </w:tblStylePr>
    <w:tblStylePr w:type="lastCol">
      <w:tblPr/>
      <w:tcPr>
        <w:tcBorders>
          <w:top w:val="nil"/>
          <w:left w:color="C0504D" w:space="0" w:sz="8" w:themeColor="accent2"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FD3D2" w:themeFill="accent2" w:themeFillTint="3F" w:val="clear"/>
      </w:tcPr>
    </w:tblStylePr>
    <w:tblStylePr w:type="band1Horz">
      <w:tblPr/>
      <w:tcPr>
        <w:tcBorders>
          <w:top w:val="nil"/>
          <w:bottom w:val="nil"/>
          <w:insideH w:val="nil"/>
          <w:insideV w:val="nil"/>
        </w:tcBorders>
        <w:shd w:color="auto" w:fill="EFD3D2" w:themeFill="accent2"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3" w:type="table">
    <w:name w:val="Medium List 2 Accent 3"/>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tblBorders>
      <w:tblCellMar>
        <w:top w:type="dxa" w:w="0"/>
        <w:left w:type="dxa" w:w="108"/>
        <w:bottom w:type="dxa" w:w="0"/>
        <w:right w:type="dxa" w:w="108"/>
      </w:tblCellMar>
    </w:tblPr>
    <w:tblStylePr w:type="firstRow">
      <w:rPr>
        <w:sz w:val="24"/>
        <w:szCs w:val="24"/>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tblPr/>
      <w:tcPr>
        <w:tcBorders>
          <w:top w:color="9BBB59" w:space="0" w:sz="8" w:themeColor="accent3"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9BBB59" w:space="0" w:sz="8" w:themeColor="accent3" w:val="single"/>
          <w:insideH w:val="nil"/>
          <w:insideV w:val="nil"/>
        </w:tcBorders>
        <w:shd w:color="auto" w:fill="FFFFFF" w:themeFill="background1" w:val="clear"/>
      </w:tcPr>
    </w:tblStylePr>
    <w:tblStylePr w:type="lastCol">
      <w:tblPr/>
      <w:tcPr>
        <w:tcBorders>
          <w:top w:val="nil"/>
          <w:left w:color="9BBB59" w:space="0" w:sz="8" w:themeColor="accent3"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E6EED5" w:themeFill="accent3" w:themeFillTint="3F" w:val="clear"/>
      </w:tcPr>
    </w:tblStylePr>
    <w:tblStylePr w:type="band1Horz">
      <w:tblPr/>
      <w:tcPr>
        <w:tcBorders>
          <w:top w:val="nil"/>
          <w:bottom w:val="nil"/>
          <w:insideH w:val="nil"/>
          <w:insideV w:val="nil"/>
        </w:tcBorders>
        <w:shd w:color="auto" w:fill="E6EED5" w:themeFill="accent3"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4" w:type="table">
    <w:name w:val="Medium List 2 Accent 4"/>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tblBorders>
      <w:tblCellMar>
        <w:top w:type="dxa" w:w="0"/>
        <w:left w:type="dxa" w:w="108"/>
        <w:bottom w:type="dxa" w:w="0"/>
        <w:right w:type="dxa" w:w="108"/>
      </w:tblCellMar>
    </w:tblPr>
    <w:tblStylePr w:type="firstRow">
      <w:rPr>
        <w:sz w:val="24"/>
        <w:szCs w:val="24"/>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tblPr/>
      <w:tcPr>
        <w:tcBorders>
          <w:top w:color="8064A2" w:space="0" w:sz="8" w:themeColor="accent4"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8064A2" w:space="0" w:sz="8" w:themeColor="accent4" w:val="single"/>
          <w:insideH w:val="nil"/>
          <w:insideV w:val="nil"/>
        </w:tcBorders>
        <w:shd w:color="auto" w:fill="FFFFFF" w:themeFill="background1" w:val="clear"/>
      </w:tcPr>
    </w:tblStylePr>
    <w:tblStylePr w:type="lastCol">
      <w:tblPr/>
      <w:tcPr>
        <w:tcBorders>
          <w:top w:val="nil"/>
          <w:left w:color="8064A2" w:space="0" w:sz="8" w:themeColor="accent4"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FD8E8" w:themeFill="accent4" w:themeFillTint="3F" w:val="clear"/>
      </w:tcPr>
    </w:tblStylePr>
    <w:tblStylePr w:type="band1Horz">
      <w:tblPr/>
      <w:tcPr>
        <w:tcBorders>
          <w:top w:val="nil"/>
          <w:bottom w:val="nil"/>
          <w:insideH w:val="nil"/>
          <w:insideV w:val="nil"/>
        </w:tcBorders>
        <w:shd w:color="auto" w:fill="DFD8E8" w:themeFill="accent4"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5" w:type="table">
    <w:name w:val="Medium List 2 Accent 5"/>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type="dxa" w:w="0"/>
        <w:left w:type="dxa" w:w="108"/>
        <w:bottom w:type="dxa" w:w="0"/>
        <w:right w:type="dxa" w:w="108"/>
      </w:tblCellMar>
    </w:tblPr>
    <w:tblStylePr w:type="firstRow">
      <w:rPr>
        <w:sz w:val="24"/>
        <w:szCs w:val="24"/>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tblPr/>
      <w:tcPr>
        <w:tcBorders>
          <w:top w:color="4BACC6" w:space="0" w:sz="8" w:themeColor="accent5"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4BACC6" w:space="0" w:sz="8" w:themeColor="accent5" w:val="single"/>
          <w:insideH w:val="nil"/>
          <w:insideV w:val="nil"/>
        </w:tcBorders>
        <w:shd w:color="auto" w:fill="FFFFFF" w:themeFill="background1" w:val="clear"/>
      </w:tcPr>
    </w:tblStylePr>
    <w:tblStylePr w:type="lastCol">
      <w:tblPr/>
      <w:tcPr>
        <w:tcBorders>
          <w:top w:val="nil"/>
          <w:left w:color="4BACC6" w:space="0" w:sz="8" w:themeColor="accent5"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D2EAF1" w:themeFill="accent5" w:themeFillTint="3F" w:val="clear"/>
      </w:tcPr>
    </w:tblStylePr>
    <w:tblStylePr w:type="band1Horz">
      <w:tblPr/>
      <w:tcPr>
        <w:tcBorders>
          <w:top w:val="nil"/>
          <w:bottom w:val="nil"/>
          <w:insideH w:val="nil"/>
          <w:insideV w:val="nil"/>
        </w:tcBorders>
        <w:shd w:color="auto" w:fill="D2EAF1" w:themeFill="accent5" w:themeFillTint="3F" w:val="clear"/>
      </w:tcPr>
    </w:tblStylePr>
    <w:tblStylePr w:type="nwCell">
      <w:tblPr/>
      <w:tcPr>
        <w:shd w:color="auto" w:fill="FFFFFF" w:themeFill="background1" w:val="clear"/>
      </w:tcPr>
    </w:tblStylePr>
    <w:tblStylePr w:type="swCell">
      <w:tblPr/>
      <w:tcPr>
        <w:tcBorders>
          <w:top w:val="nil"/>
        </w:tcBorders>
      </w:tcPr>
    </w:tblStylePr>
  </w:style>
  <w:style w:styleId="MediumList2-Accent6" w:type="table">
    <w:name w:val="Medium List 2 Accent 6"/>
    <w:basedOn w:val="TableNormal"/>
    <w:uiPriority w:val="66"/>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tblBorders>
      <w:tblCellMar>
        <w:top w:type="dxa" w:w="0"/>
        <w:left w:type="dxa" w:w="108"/>
        <w:bottom w:type="dxa" w:w="0"/>
        <w:right w:type="dxa" w:w="108"/>
      </w:tblCellMar>
    </w:tblPr>
    <w:tblStylePr w:type="firstRow">
      <w:rPr>
        <w:sz w:val="24"/>
        <w:szCs w:val="24"/>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tblPr/>
      <w:tcPr>
        <w:tcBorders>
          <w:top w:color="F79646" w:space="0" w:sz="8" w:themeColor="accent6" w:val="single"/>
          <w:left w:val="nil"/>
          <w:bottom w:val="nil"/>
          <w:right w:val="nil"/>
          <w:insideH w:val="nil"/>
          <w:insideV w:val="nil"/>
        </w:tcBorders>
        <w:shd w:color="auto" w:fill="FFFFFF" w:themeFill="background1" w:val="clear"/>
      </w:tcPr>
    </w:tblStylePr>
    <w:tblStylePr w:type="firstCol">
      <w:tblPr/>
      <w:tcPr>
        <w:tcBorders>
          <w:top w:val="nil"/>
          <w:left w:val="nil"/>
          <w:bottom w:val="nil"/>
          <w:right w:color="F79646" w:space="0" w:sz="8" w:themeColor="accent6" w:val="single"/>
          <w:insideH w:val="nil"/>
          <w:insideV w:val="nil"/>
        </w:tcBorders>
        <w:shd w:color="auto" w:fill="FFFFFF" w:themeFill="background1" w:val="clear"/>
      </w:tcPr>
    </w:tblStylePr>
    <w:tblStylePr w:type="lastCol">
      <w:tblPr/>
      <w:tcPr>
        <w:tcBorders>
          <w:top w:val="nil"/>
          <w:left w:color="F79646" w:space="0" w:sz="8" w:themeColor="accent6" w:val="single"/>
          <w:bottom w:val="nil"/>
          <w:right w:val="nil"/>
          <w:insideH w:val="nil"/>
          <w:insideV w:val="nil"/>
        </w:tcBorders>
        <w:shd w:color="auto" w:fill="FFFFFF" w:themeFill="background1" w:val="clear"/>
      </w:tcPr>
    </w:tblStylePr>
    <w:tblStylePr w:type="band1Vert">
      <w:tblPr/>
      <w:tcPr>
        <w:tcBorders>
          <w:left w:val="nil"/>
          <w:right w:val="nil"/>
          <w:insideH w:val="nil"/>
          <w:insideV w:val="nil"/>
        </w:tcBorders>
        <w:shd w:color="auto" w:fill="FDE4D0" w:themeFill="accent6" w:themeFillTint="3F" w:val="clear"/>
      </w:tcPr>
    </w:tblStylePr>
    <w:tblStylePr w:type="band1Horz">
      <w:tblPr/>
      <w:tcPr>
        <w:tcBorders>
          <w:top w:val="nil"/>
          <w:bottom w:val="nil"/>
          <w:insideH w:val="nil"/>
          <w:insideV w:val="nil"/>
        </w:tcBorders>
        <w:shd w:color="auto" w:fill="FDE4D0" w:themeFill="accent6" w:themeFillTint="3F" w:val="clear"/>
      </w:tcPr>
    </w:tblStylePr>
    <w:tblStylePr w:type="nwCell">
      <w:tblPr/>
      <w:tcPr>
        <w:shd w:color="auto" w:fill="FFFFFF" w:themeFill="background1" w:val="clear"/>
      </w:tcPr>
    </w:tblStylePr>
    <w:tblStylePr w:type="swCell">
      <w:tblPr/>
      <w:tcPr>
        <w:tcBorders>
          <w:top w:val="nil"/>
        </w:tcBorders>
      </w:tcPr>
    </w:tblStylePr>
  </w:style>
  <w:style w:styleId="MediumGrid1" w:type="table">
    <w:name w:val="Medium Grid 1"/>
    <w:basedOn w:val="TableNormal"/>
    <w:uiPriority w:val="67"/>
    <w:rsid w:val="00CB0664"/>
    <w:pPr>
      <w:spacing w:after="0" w:line="240" w:lineRule="auto"/>
    </w:pPr>
    <w:tblPr>
      <w:tblStyleRowBandSize w:val="1"/>
      <w:tblStyleColBandSize w:val="1"/>
      <w:tblInd w:type="dxa" w:w="0"/>
      <w:tblBorders>
        <w:top w:color="404040" w:space="0" w:sz="8" w:themeColor="text1" w:themeTint="BF" w:val="single"/>
        <w:left w:color="404040" w:space="0" w:sz="8" w:themeColor="text1" w:themeTint="BF" w:val="single"/>
        <w:bottom w:color="404040" w:space="0" w:sz="8" w:themeColor="text1" w:themeTint="BF" w:val="single"/>
        <w:right w:color="404040" w:space="0" w:sz="8" w:themeColor="text1" w:themeTint="BF" w:val="single"/>
        <w:insideH w:color="404040" w:space="0" w:sz="8" w:themeColor="text1" w:themeTint="BF" w:val="single"/>
        <w:insideV w:color="404040" w:space="0" w:sz="8" w:themeColor="text1" w:themeTint="BF" w:val="single"/>
      </w:tblBorders>
      <w:tblCellMar>
        <w:top w:type="dxa" w:w="0"/>
        <w:left w:type="dxa" w:w="108"/>
        <w:bottom w:type="dxa" w:w="0"/>
        <w:right w:type="dxa" w:w="108"/>
      </w:tblCellMar>
    </w:tblPr>
    <w:tcPr>
      <w:shd w:color="auto" w:fill="C0C0C0" w:themeFill="text1" w:themeFillTint="3F" w:val="clear"/>
    </w:tcPr>
    <w:tblStylePr w:type="firstRow">
      <w:rPr>
        <w:b/>
        <w:bCs/>
      </w:rPr>
    </w:tblStylePr>
    <w:tblStylePr w:type="lastRow">
      <w:rPr>
        <w:b/>
        <w:bCs/>
      </w:rPr>
      <w:tblPr/>
      <w:tcPr>
        <w:tcBorders>
          <w:top w:color="404040" w:space="0" w:sz="18" w:themeColor="text1" w:themeTint="BF" w:val="single"/>
        </w:tcBorders>
      </w:tcPr>
    </w:tblStylePr>
    <w:tblStylePr w:type="firstCol">
      <w:rPr>
        <w:b/>
        <w:bCs/>
      </w:rPr>
    </w:tblStylePr>
    <w:tblStylePr w:type="lastCol">
      <w:rPr>
        <w:b/>
        <w:bCs/>
      </w:r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MediumGrid1-Accent1" w:type="table">
    <w:name w:val="Medium Grid 1 Accent 1"/>
    <w:basedOn w:val="TableNormal"/>
    <w:uiPriority w:val="67"/>
    <w:rsid w:val="00CB0664"/>
    <w:pPr>
      <w:spacing w:after="0" w:line="240" w:lineRule="auto"/>
    </w:pPr>
    <w:tblPr>
      <w:tblStyleRowBandSize w:val="1"/>
      <w:tblStyleColBandSize w:val="1"/>
      <w:tblInd w:type="dxa" w:w="0"/>
      <w:tblBorders>
        <w:top w:color="7BA0CD" w:space="0" w:sz="8" w:themeColor="accent1" w:themeTint="BF" w:val="single"/>
        <w:left w:color="7BA0CD" w:space="0" w:sz="8" w:themeColor="accent1" w:themeTint="BF" w:val="single"/>
        <w:bottom w:color="7BA0CD" w:space="0" w:sz="8" w:themeColor="accent1" w:themeTint="BF" w:val="single"/>
        <w:right w:color="7BA0CD" w:space="0" w:sz="8" w:themeColor="accent1" w:themeTint="BF" w:val="single"/>
        <w:insideH w:color="7BA0CD" w:space="0" w:sz="8" w:themeColor="accent1" w:themeTint="BF" w:val="single"/>
        <w:insideV w:color="7BA0CD" w:space="0" w:sz="8" w:themeColor="accent1" w:themeTint="BF" w:val="single"/>
      </w:tblBorders>
      <w:tblCellMar>
        <w:top w:type="dxa" w:w="0"/>
        <w:left w:type="dxa" w:w="108"/>
        <w:bottom w:type="dxa" w:w="0"/>
        <w:right w:type="dxa" w:w="108"/>
      </w:tblCellMar>
    </w:tblPr>
    <w:tcPr>
      <w:shd w:color="auto" w:fill="D3DFEE" w:themeFill="accent1" w:themeFillTint="3F" w:val="clear"/>
    </w:tcPr>
    <w:tblStylePr w:type="firstRow">
      <w:rPr>
        <w:b/>
        <w:bCs/>
      </w:rPr>
    </w:tblStylePr>
    <w:tblStylePr w:type="lastRow">
      <w:rPr>
        <w:b/>
        <w:bCs/>
      </w:rPr>
      <w:tblPr/>
      <w:tcPr>
        <w:tcBorders>
          <w:top w:color="7BA0CD" w:space="0" w:sz="18" w:themeColor="accent1" w:themeTint="BF" w:val="single"/>
        </w:tcBorders>
      </w:tcPr>
    </w:tblStylePr>
    <w:tblStylePr w:type="firstCol">
      <w:rPr>
        <w:b/>
        <w:bCs/>
      </w:rPr>
    </w:tblStylePr>
    <w:tblStylePr w:type="lastCol">
      <w:rPr>
        <w:b/>
        <w:bCs/>
      </w:r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MediumGrid1-Accent2" w:type="table">
    <w:name w:val="Medium Grid 1 Accent 2"/>
    <w:basedOn w:val="TableNormal"/>
    <w:uiPriority w:val="67"/>
    <w:rsid w:val="00CB0664"/>
    <w:pPr>
      <w:spacing w:after="0" w:line="240" w:lineRule="auto"/>
    </w:pPr>
    <w:tblPr>
      <w:tblStyleRowBandSize w:val="1"/>
      <w:tblStyleColBandSize w:val="1"/>
      <w:tblInd w:type="dxa" w:w="0"/>
      <w:tblBorders>
        <w:top w:color="CF7B79" w:space="0" w:sz="8" w:themeColor="accent2" w:themeTint="BF" w:val="single"/>
        <w:left w:color="CF7B79" w:space="0" w:sz="8" w:themeColor="accent2" w:themeTint="BF" w:val="single"/>
        <w:bottom w:color="CF7B79" w:space="0" w:sz="8" w:themeColor="accent2" w:themeTint="BF" w:val="single"/>
        <w:right w:color="CF7B79" w:space="0" w:sz="8" w:themeColor="accent2" w:themeTint="BF" w:val="single"/>
        <w:insideH w:color="CF7B79" w:space="0" w:sz="8" w:themeColor="accent2" w:themeTint="BF" w:val="single"/>
        <w:insideV w:color="CF7B79" w:space="0" w:sz="8" w:themeColor="accent2" w:themeTint="BF" w:val="single"/>
      </w:tblBorders>
      <w:tblCellMar>
        <w:top w:type="dxa" w:w="0"/>
        <w:left w:type="dxa" w:w="108"/>
        <w:bottom w:type="dxa" w:w="0"/>
        <w:right w:type="dxa" w:w="108"/>
      </w:tblCellMar>
    </w:tblPr>
    <w:tcPr>
      <w:shd w:color="auto" w:fill="EFD3D2" w:themeFill="accent2" w:themeFillTint="3F" w:val="clear"/>
    </w:tcPr>
    <w:tblStylePr w:type="firstRow">
      <w:rPr>
        <w:b/>
        <w:bCs/>
      </w:rPr>
    </w:tblStylePr>
    <w:tblStylePr w:type="lastRow">
      <w:rPr>
        <w:b/>
        <w:bCs/>
      </w:rPr>
      <w:tblPr/>
      <w:tcPr>
        <w:tcBorders>
          <w:top w:color="CF7B79" w:space="0" w:sz="18" w:themeColor="accent2" w:themeTint="BF" w:val="single"/>
        </w:tcBorders>
      </w:tcPr>
    </w:tblStylePr>
    <w:tblStylePr w:type="firstCol">
      <w:rPr>
        <w:b/>
        <w:bCs/>
      </w:rPr>
    </w:tblStylePr>
    <w:tblStylePr w:type="lastCol">
      <w:rPr>
        <w:b/>
        <w:bCs/>
      </w:r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MediumGrid1-Accent3" w:type="table">
    <w:name w:val="Medium Grid 1 Accent 3"/>
    <w:basedOn w:val="TableNormal"/>
    <w:uiPriority w:val="67"/>
    <w:rsid w:val="00CB0664"/>
    <w:pPr>
      <w:spacing w:after="0" w:line="240" w:lineRule="auto"/>
    </w:pPr>
    <w:tblPr>
      <w:tblStyleRowBandSize w:val="1"/>
      <w:tblStyleColBandSize w:val="1"/>
      <w:tblInd w:type="dxa" w:w="0"/>
      <w:tblBorders>
        <w:top w:color="B3CC82" w:space="0" w:sz="8" w:themeColor="accent3" w:themeTint="BF" w:val="single"/>
        <w:left w:color="B3CC82" w:space="0" w:sz="8" w:themeColor="accent3" w:themeTint="BF" w:val="single"/>
        <w:bottom w:color="B3CC82" w:space="0" w:sz="8" w:themeColor="accent3" w:themeTint="BF" w:val="single"/>
        <w:right w:color="B3CC82" w:space="0" w:sz="8" w:themeColor="accent3" w:themeTint="BF" w:val="single"/>
        <w:insideH w:color="B3CC82" w:space="0" w:sz="8" w:themeColor="accent3" w:themeTint="BF" w:val="single"/>
        <w:insideV w:color="B3CC82" w:space="0" w:sz="8" w:themeColor="accent3" w:themeTint="BF" w:val="single"/>
      </w:tblBorders>
      <w:tblCellMar>
        <w:top w:type="dxa" w:w="0"/>
        <w:left w:type="dxa" w:w="108"/>
        <w:bottom w:type="dxa" w:w="0"/>
        <w:right w:type="dxa" w:w="108"/>
      </w:tblCellMar>
    </w:tblPr>
    <w:tcPr>
      <w:shd w:color="auto" w:fill="E6EED5" w:themeFill="accent3" w:themeFillTint="3F" w:val="clear"/>
    </w:tcPr>
    <w:tblStylePr w:type="firstRow">
      <w:rPr>
        <w:b/>
        <w:bCs/>
      </w:rPr>
    </w:tblStylePr>
    <w:tblStylePr w:type="lastRow">
      <w:rPr>
        <w:b/>
        <w:bCs/>
      </w:rPr>
      <w:tblPr/>
      <w:tcPr>
        <w:tcBorders>
          <w:top w:color="B3CC82" w:space="0" w:sz="18" w:themeColor="accent3" w:themeTint="BF" w:val="single"/>
        </w:tcBorders>
      </w:tcPr>
    </w:tblStylePr>
    <w:tblStylePr w:type="firstCol">
      <w:rPr>
        <w:b/>
        <w:bCs/>
      </w:rPr>
    </w:tblStylePr>
    <w:tblStylePr w:type="lastCol">
      <w:rPr>
        <w:b/>
        <w:bCs/>
      </w:r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MediumGrid1-Accent4" w:type="table">
    <w:name w:val="Medium Grid 1 Accent 4"/>
    <w:basedOn w:val="TableNormal"/>
    <w:uiPriority w:val="67"/>
    <w:rsid w:val="00CB0664"/>
    <w:pPr>
      <w:spacing w:after="0" w:line="240" w:lineRule="auto"/>
    </w:pPr>
    <w:tblPr>
      <w:tblStyleRowBandSize w:val="1"/>
      <w:tblStyleColBandSize w:val="1"/>
      <w:tblInd w:type="dxa" w:w="0"/>
      <w:tblBorders>
        <w:top w:color="9F8AB9" w:space="0" w:sz="8" w:themeColor="accent4" w:themeTint="BF" w:val="single"/>
        <w:left w:color="9F8AB9" w:space="0" w:sz="8" w:themeColor="accent4" w:themeTint="BF" w:val="single"/>
        <w:bottom w:color="9F8AB9" w:space="0" w:sz="8" w:themeColor="accent4" w:themeTint="BF" w:val="single"/>
        <w:right w:color="9F8AB9" w:space="0" w:sz="8" w:themeColor="accent4" w:themeTint="BF" w:val="single"/>
        <w:insideH w:color="9F8AB9" w:space="0" w:sz="8" w:themeColor="accent4" w:themeTint="BF" w:val="single"/>
        <w:insideV w:color="9F8AB9" w:space="0" w:sz="8" w:themeColor="accent4" w:themeTint="BF" w:val="single"/>
      </w:tblBorders>
      <w:tblCellMar>
        <w:top w:type="dxa" w:w="0"/>
        <w:left w:type="dxa" w:w="108"/>
        <w:bottom w:type="dxa" w:w="0"/>
        <w:right w:type="dxa" w:w="108"/>
      </w:tblCellMar>
    </w:tblPr>
    <w:tcPr>
      <w:shd w:color="auto" w:fill="DFD8E8" w:themeFill="accent4" w:themeFillTint="3F" w:val="clear"/>
    </w:tcPr>
    <w:tblStylePr w:type="firstRow">
      <w:rPr>
        <w:b/>
        <w:bCs/>
      </w:rPr>
    </w:tblStylePr>
    <w:tblStylePr w:type="lastRow">
      <w:rPr>
        <w:b/>
        <w:bCs/>
      </w:rPr>
      <w:tblPr/>
      <w:tcPr>
        <w:tcBorders>
          <w:top w:color="9F8AB9" w:space="0" w:sz="18" w:themeColor="accent4" w:themeTint="BF" w:val="single"/>
        </w:tcBorders>
      </w:tcPr>
    </w:tblStylePr>
    <w:tblStylePr w:type="firstCol">
      <w:rPr>
        <w:b/>
        <w:bCs/>
      </w:rPr>
    </w:tblStylePr>
    <w:tblStylePr w:type="lastCol">
      <w:rPr>
        <w:b/>
        <w:bCs/>
      </w:r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MediumGrid1-Accent5" w:type="table">
    <w:name w:val="Medium Grid 1 Accent 5"/>
    <w:basedOn w:val="TableNormal"/>
    <w:uiPriority w:val="67"/>
    <w:rsid w:val="00CB0664"/>
    <w:pPr>
      <w:spacing w:after="0" w:line="240" w:lineRule="auto"/>
    </w:pPr>
    <w:tblPr>
      <w:tblStyleRowBandSize w:val="1"/>
      <w:tblStyleColBandSize w:val="1"/>
      <w:tblInd w:type="dxa" w:w="0"/>
      <w:tblBorders>
        <w:top w:color="78C0D4" w:space="0" w:sz="8" w:themeColor="accent5" w:themeTint="BF" w:val="single"/>
        <w:left w:color="78C0D4" w:space="0" w:sz="8" w:themeColor="accent5" w:themeTint="BF" w:val="single"/>
        <w:bottom w:color="78C0D4" w:space="0" w:sz="8" w:themeColor="accent5" w:themeTint="BF" w:val="single"/>
        <w:right w:color="78C0D4" w:space="0" w:sz="8" w:themeColor="accent5" w:themeTint="BF" w:val="single"/>
        <w:insideH w:color="78C0D4" w:space="0" w:sz="8" w:themeColor="accent5" w:themeTint="BF" w:val="single"/>
        <w:insideV w:color="78C0D4" w:space="0" w:sz="8" w:themeColor="accent5" w:themeTint="BF" w:val="single"/>
      </w:tblBorders>
      <w:tblCellMar>
        <w:top w:type="dxa" w:w="0"/>
        <w:left w:type="dxa" w:w="108"/>
        <w:bottom w:type="dxa" w:w="0"/>
        <w:right w:type="dxa" w:w="108"/>
      </w:tblCellMar>
    </w:tblPr>
    <w:tcPr>
      <w:shd w:color="auto" w:fill="D2EAF1" w:themeFill="accent5" w:themeFillTint="3F" w:val="clear"/>
    </w:tcPr>
    <w:tblStylePr w:type="firstRow">
      <w:rPr>
        <w:b/>
        <w:bCs/>
      </w:rPr>
    </w:tblStylePr>
    <w:tblStylePr w:type="lastRow">
      <w:rPr>
        <w:b/>
        <w:bCs/>
      </w:rPr>
      <w:tblPr/>
      <w:tcPr>
        <w:tcBorders>
          <w:top w:color="78C0D4" w:space="0" w:sz="18" w:themeColor="accent5" w:themeTint="BF" w:val="single"/>
        </w:tcBorders>
      </w:tcPr>
    </w:tblStylePr>
    <w:tblStylePr w:type="firstCol">
      <w:rPr>
        <w:b/>
        <w:bCs/>
      </w:rPr>
    </w:tblStylePr>
    <w:tblStylePr w:type="lastCol">
      <w:rPr>
        <w:b/>
        <w:bCs/>
      </w:r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MediumGrid1-Accent6" w:type="table">
    <w:name w:val="Medium Grid 1 Accent 6"/>
    <w:basedOn w:val="TableNormal"/>
    <w:uiPriority w:val="67"/>
    <w:rsid w:val="00CB0664"/>
    <w:pPr>
      <w:spacing w:after="0" w:line="240" w:lineRule="auto"/>
    </w:pPr>
    <w:tblPr>
      <w:tblStyleRowBandSize w:val="1"/>
      <w:tblStyleColBandSize w:val="1"/>
      <w:tblInd w:type="dxa" w:w="0"/>
      <w:tblBorders>
        <w:top w:color="F9B074" w:space="0" w:sz="8" w:themeColor="accent6" w:themeTint="BF" w:val="single"/>
        <w:left w:color="F9B074" w:space="0" w:sz="8" w:themeColor="accent6" w:themeTint="BF" w:val="single"/>
        <w:bottom w:color="F9B074" w:space="0" w:sz="8" w:themeColor="accent6" w:themeTint="BF" w:val="single"/>
        <w:right w:color="F9B074" w:space="0" w:sz="8" w:themeColor="accent6" w:themeTint="BF" w:val="single"/>
        <w:insideH w:color="F9B074" w:space="0" w:sz="8" w:themeColor="accent6" w:themeTint="BF" w:val="single"/>
        <w:insideV w:color="F9B074" w:space="0" w:sz="8" w:themeColor="accent6" w:themeTint="BF" w:val="single"/>
      </w:tblBorders>
      <w:tblCellMar>
        <w:top w:type="dxa" w:w="0"/>
        <w:left w:type="dxa" w:w="108"/>
        <w:bottom w:type="dxa" w:w="0"/>
        <w:right w:type="dxa" w:w="108"/>
      </w:tblCellMar>
    </w:tblPr>
    <w:tcPr>
      <w:shd w:color="auto" w:fill="FDE4D0" w:themeFill="accent6" w:themeFillTint="3F" w:val="clear"/>
    </w:tcPr>
    <w:tblStylePr w:type="firstRow">
      <w:rPr>
        <w:b/>
        <w:bCs/>
      </w:rPr>
    </w:tblStylePr>
    <w:tblStylePr w:type="lastRow">
      <w:rPr>
        <w:b/>
        <w:bCs/>
      </w:rPr>
      <w:tblPr/>
      <w:tcPr>
        <w:tcBorders>
          <w:top w:color="F9B074" w:space="0" w:sz="18" w:themeColor="accent6" w:themeTint="BF" w:val="single"/>
        </w:tcBorders>
      </w:tcPr>
    </w:tblStylePr>
    <w:tblStylePr w:type="firstCol">
      <w:rPr>
        <w:b/>
        <w:bCs/>
      </w:rPr>
    </w:tblStylePr>
    <w:tblStylePr w:type="lastCol">
      <w:rPr>
        <w:b/>
        <w:bCs/>
      </w:r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styleId="MediumGrid2" w:type="table">
    <w:name w:val="Medium Grid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type="dxa" w:w="0"/>
        <w:left w:type="dxa" w:w="108"/>
        <w:bottom w:type="dxa" w:w="0"/>
        <w:right w:type="dxa" w:w="108"/>
      </w:tblCellMar>
    </w:tblPr>
    <w:tcPr>
      <w:shd w:color="auto" w:fill="C0C0C0" w:themeFill="text1" w:themeFillTint="3F" w:val="clear"/>
    </w:tcPr>
    <w:tblStylePr w:type="firstRow">
      <w:rPr>
        <w:b/>
        <w:bCs/>
        <w:color w:themeColor="text1" w:val="000000"/>
      </w:rPr>
      <w:tblPr/>
      <w:tcPr>
        <w:shd w:color="auto" w:fill="E6E6E6" w:themeFill="tex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CCCCCC" w:themeFill="text1" w:themeFillTint="33" w:val="clear"/>
      </w:tcPr>
    </w:tblStylePr>
    <w:tblStylePr w:type="band1Vert">
      <w:tblPr/>
      <w:tcPr>
        <w:shd w:color="auto" w:fill="808080" w:themeFill="text1" w:themeFillTint="7F" w:val="clear"/>
      </w:tcPr>
    </w:tblStylePr>
    <w:tblStylePr w:type="band1Horz">
      <w:tblPr/>
      <w:tcPr>
        <w:tcBorders>
          <w:insideH w:color="000000" w:space="0" w:sz="6" w:themeColor="text1" w:val="single"/>
          <w:insideV w:color="000000" w:space="0" w:sz="6" w:themeColor="text1" w:val="single"/>
        </w:tcBorders>
        <w:shd w:color="auto" w:fill="808080" w:themeFill="text1" w:themeFillTint="7F" w:val="clear"/>
      </w:tcPr>
    </w:tblStylePr>
    <w:tblStylePr w:type="nwCell">
      <w:tblPr/>
      <w:tcPr>
        <w:shd w:color="auto" w:fill="FFFFFF" w:themeFill="background1" w:val="clear"/>
      </w:tcPr>
    </w:tblStylePr>
  </w:style>
  <w:style w:styleId="MediumGrid2-Accent1" w:type="table">
    <w:name w:val="Medium Grid 2 Accent 1"/>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type="dxa" w:w="0"/>
        <w:left w:type="dxa" w:w="108"/>
        <w:bottom w:type="dxa" w:w="0"/>
        <w:right w:type="dxa" w:w="108"/>
      </w:tblCellMar>
    </w:tblPr>
    <w:tcPr>
      <w:shd w:color="auto" w:fill="D3DFEE" w:themeFill="accent1" w:themeFillTint="3F" w:val="clear"/>
    </w:tcPr>
    <w:tblStylePr w:type="firstRow">
      <w:rPr>
        <w:b/>
        <w:bCs/>
        <w:color w:themeColor="text1" w:val="000000"/>
      </w:rPr>
      <w:tblPr/>
      <w:tcPr>
        <w:shd w:color="auto" w:fill="EDF2F8" w:themeFill="accent1"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BE5F1" w:themeFill="accent1" w:themeFillTint="33" w:val="clear"/>
      </w:tcPr>
    </w:tblStylePr>
    <w:tblStylePr w:type="band1Vert">
      <w:tblPr/>
      <w:tcPr>
        <w:shd w:color="auto" w:fill="A7BFDE" w:themeFill="accent1" w:themeFillTint="7F" w:val="clear"/>
      </w:tcPr>
    </w:tblStylePr>
    <w:tblStylePr w:type="band1Horz">
      <w:tblPr/>
      <w:tcPr>
        <w:tcBorders>
          <w:insideH w:color="4F81BD" w:space="0" w:sz="6" w:themeColor="accent1" w:val="single"/>
          <w:insideV w:color="4F81BD" w:space="0" w:sz="6" w:themeColor="accent1" w:val="single"/>
        </w:tcBorders>
        <w:shd w:color="auto" w:fill="A7BFDE" w:themeFill="accent1" w:themeFillTint="7F" w:val="clear"/>
      </w:tcPr>
    </w:tblStylePr>
    <w:tblStylePr w:type="nwCell">
      <w:tblPr/>
      <w:tcPr>
        <w:shd w:color="auto" w:fill="FFFFFF" w:themeFill="background1" w:val="clear"/>
      </w:tcPr>
    </w:tblStylePr>
  </w:style>
  <w:style w:styleId="MediumGrid2-Accent2" w:type="table">
    <w:name w:val="Medium Grid 2 Accent 2"/>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C0504D" w:space="0" w:sz="8" w:themeColor="accent2" w:val="single"/>
        <w:left w:color="C0504D" w:space="0" w:sz="8" w:themeColor="accent2" w:val="single"/>
        <w:bottom w:color="C0504D" w:space="0" w:sz="8" w:themeColor="accent2" w:val="single"/>
        <w:right w:color="C0504D" w:space="0" w:sz="8" w:themeColor="accent2" w:val="single"/>
        <w:insideH w:color="C0504D" w:space="0" w:sz="8" w:themeColor="accent2" w:val="single"/>
        <w:insideV w:color="C0504D" w:space="0" w:sz="8" w:themeColor="accent2" w:val="single"/>
      </w:tblBorders>
      <w:tblCellMar>
        <w:top w:type="dxa" w:w="0"/>
        <w:left w:type="dxa" w:w="108"/>
        <w:bottom w:type="dxa" w:w="0"/>
        <w:right w:type="dxa" w:w="108"/>
      </w:tblCellMar>
    </w:tblPr>
    <w:tcPr>
      <w:shd w:color="auto" w:fill="EFD3D2" w:themeFill="accent2" w:themeFillTint="3F" w:val="clear"/>
    </w:tcPr>
    <w:tblStylePr w:type="firstRow">
      <w:rPr>
        <w:b/>
        <w:bCs/>
        <w:color w:themeColor="text1" w:val="000000"/>
      </w:rPr>
      <w:tblPr/>
      <w:tcPr>
        <w:shd w:color="auto" w:fill="F8EDED" w:themeFill="accent2"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2DBDB" w:themeFill="accent2" w:themeFillTint="33" w:val="clear"/>
      </w:tcPr>
    </w:tblStylePr>
    <w:tblStylePr w:type="band1Vert">
      <w:tblPr/>
      <w:tcPr>
        <w:shd w:color="auto" w:fill="DFA7A6" w:themeFill="accent2" w:themeFillTint="7F" w:val="clear"/>
      </w:tcPr>
    </w:tblStylePr>
    <w:tblStylePr w:type="band1Horz">
      <w:tblPr/>
      <w:tcPr>
        <w:tcBorders>
          <w:insideH w:color="C0504D" w:space="0" w:sz="6" w:themeColor="accent2" w:val="single"/>
          <w:insideV w:color="C0504D" w:space="0" w:sz="6" w:themeColor="accent2" w:val="single"/>
        </w:tcBorders>
        <w:shd w:color="auto" w:fill="DFA7A6" w:themeFill="accent2" w:themeFillTint="7F" w:val="clear"/>
      </w:tcPr>
    </w:tblStylePr>
    <w:tblStylePr w:type="nwCell">
      <w:tblPr/>
      <w:tcPr>
        <w:shd w:color="auto" w:fill="FFFFFF" w:themeFill="background1" w:val="clear"/>
      </w:tcPr>
    </w:tblStylePr>
  </w:style>
  <w:style w:styleId="MediumGrid2-Accent3" w:type="table">
    <w:name w:val="Medium Grid 2 Accent 3"/>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9BBB59" w:space="0" w:sz="8" w:themeColor="accent3" w:val="single"/>
        <w:left w:color="9BBB59" w:space="0" w:sz="8" w:themeColor="accent3" w:val="single"/>
        <w:bottom w:color="9BBB59" w:space="0" w:sz="8" w:themeColor="accent3" w:val="single"/>
        <w:right w:color="9BBB59" w:space="0" w:sz="8" w:themeColor="accent3" w:val="single"/>
        <w:insideH w:color="9BBB59" w:space="0" w:sz="8" w:themeColor="accent3" w:val="single"/>
        <w:insideV w:color="9BBB59" w:space="0" w:sz="8" w:themeColor="accent3" w:val="single"/>
      </w:tblBorders>
      <w:tblCellMar>
        <w:top w:type="dxa" w:w="0"/>
        <w:left w:type="dxa" w:w="108"/>
        <w:bottom w:type="dxa" w:w="0"/>
        <w:right w:type="dxa" w:w="108"/>
      </w:tblCellMar>
    </w:tblPr>
    <w:tcPr>
      <w:shd w:color="auto" w:fill="E6EED5" w:themeFill="accent3" w:themeFillTint="3F" w:val="clear"/>
    </w:tcPr>
    <w:tblStylePr w:type="firstRow">
      <w:rPr>
        <w:b/>
        <w:bCs/>
        <w:color w:themeColor="text1" w:val="000000"/>
      </w:rPr>
      <w:tblPr/>
      <w:tcPr>
        <w:shd w:color="auto" w:fill="F5F8EE" w:themeFill="accent3"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AF1DD" w:themeFill="accent3" w:themeFillTint="33" w:val="clear"/>
      </w:tcPr>
    </w:tblStylePr>
    <w:tblStylePr w:type="band1Vert">
      <w:tblPr/>
      <w:tcPr>
        <w:shd w:color="auto" w:fill="CDDDAC" w:themeFill="accent3" w:themeFillTint="7F" w:val="clear"/>
      </w:tcPr>
    </w:tblStylePr>
    <w:tblStylePr w:type="band1Horz">
      <w:tblPr/>
      <w:tcPr>
        <w:tcBorders>
          <w:insideH w:color="9BBB59" w:space="0" w:sz="6" w:themeColor="accent3" w:val="single"/>
          <w:insideV w:color="9BBB59" w:space="0" w:sz="6" w:themeColor="accent3" w:val="single"/>
        </w:tcBorders>
        <w:shd w:color="auto" w:fill="CDDDAC" w:themeFill="accent3" w:themeFillTint="7F" w:val="clear"/>
      </w:tcPr>
    </w:tblStylePr>
    <w:tblStylePr w:type="nwCell">
      <w:tblPr/>
      <w:tcPr>
        <w:shd w:color="auto" w:fill="FFFFFF" w:themeFill="background1" w:val="clear"/>
      </w:tcPr>
    </w:tblStylePr>
  </w:style>
  <w:style w:styleId="MediumGrid2-Accent4" w:type="table">
    <w:name w:val="Medium Grid 2 Accent 4"/>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8064A2" w:space="0" w:sz="8" w:themeColor="accent4" w:val="single"/>
        <w:left w:color="8064A2" w:space="0" w:sz="8" w:themeColor="accent4" w:val="single"/>
        <w:bottom w:color="8064A2" w:space="0" w:sz="8" w:themeColor="accent4" w:val="single"/>
        <w:right w:color="8064A2" w:space="0" w:sz="8" w:themeColor="accent4" w:val="single"/>
        <w:insideH w:color="8064A2" w:space="0" w:sz="8" w:themeColor="accent4" w:val="single"/>
        <w:insideV w:color="8064A2" w:space="0" w:sz="8" w:themeColor="accent4" w:val="single"/>
      </w:tblBorders>
      <w:tblCellMar>
        <w:top w:type="dxa" w:w="0"/>
        <w:left w:type="dxa" w:w="108"/>
        <w:bottom w:type="dxa" w:w="0"/>
        <w:right w:type="dxa" w:w="108"/>
      </w:tblCellMar>
    </w:tblPr>
    <w:tcPr>
      <w:shd w:color="auto" w:fill="DFD8E8" w:themeFill="accent4" w:themeFillTint="3F" w:val="clear"/>
    </w:tcPr>
    <w:tblStylePr w:type="firstRow">
      <w:rPr>
        <w:b/>
        <w:bCs/>
        <w:color w:themeColor="text1" w:val="000000"/>
      </w:rPr>
      <w:tblPr/>
      <w:tcPr>
        <w:shd w:color="auto" w:fill="F2EFF6" w:themeFill="accent4"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E5DFEC" w:themeFill="accent4" w:themeFillTint="33" w:val="clear"/>
      </w:tcPr>
    </w:tblStylePr>
    <w:tblStylePr w:type="band1Vert">
      <w:tblPr/>
      <w:tcPr>
        <w:shd w:color="auto" w:fill="BFB1D0" w:themeFill="accent4" w:themeFillTint="7F" w:val="clear"/>
      </w:tcPr>
    </w:tblStylePr>
    <w:tblStylePr w:type="band1Horz">
      <w:tblPr/>
      <w:tcPr>
        <w:tcBorders>
          <w:insideH w:color="8064A2" w:space="0" w:sz="6" w:themeColor="accent4" w:val="single"/>
          <w:insideV w:color="8064A2" w:space="0" w:sz="6" w:themeColor="accent4" w:val="single"/>
        </w:tcBorders>
        <w:shd w:color="auto" w:fill="BFB1D0" w:themeFill="accent4" w:themeFillTint="7F" w:val="clear"/>
      </w:tcPr>
    </w:tblStylePr>
    <w:tblStylePr w:type="nwCell">
      <w:tblPr/>
      <w:tcPr>
        <w:shd w:color="auto" w:fill="FFFFFF" w:themeFill="background1" w:val="clear"/>
      </w:tcPr>
    </w:tblStylePr>
  </w:style>
  <w:style w:styleId="MediumGrid2-Accent5" w:type="table">
    <w:name w:val="Medium Grid 2 Accent 5"/>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type="dxa" w:w="0"/>
        <w:left w:type="dxa" w:w="108"/>
        <w:bottom w:type="dxa" w:w="0"/>
        <w:right w:type="dxa" w:w="108"/>
      </w:tblCellMar>
    </w:tblPr>
    <w:tcPr>
      <w:shd w:color="auto" w:fill="D2EAF1" w:themeFill="accent5" w:themeFillTint="3F" w:val="clear"/>
    </w:tcPr>
    <w:tblStylePr w:type="firstRow">
      <w:rPr>
        <w:b/>
        <w:bCs/>
        <w:color w:themeColor="text1" w:val="000000"/>
      </w:rPr>
      <w:tblPr/>
      <w:tcPr>
        <w:shd w:color="auto" w:fill="EDF6F9" w:themeFill="accent5"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DAEEF3" w:themeFill="accent5" w:themeFillTint="33" w:val="clear"/>
      </w:tcPr>
    </w:tblStylePr>
    <w:tblStylePr w:type="band1Vert">
      <w:tblPr/>
      <w:tcPr>
        <w:shd w:color="auto" w:fill="A5D5E2" w:themeFill="accent5" w:themeFillTint="7F" w:val="clear"/>
      </w:tcPr>
    </w:tblStylePr>
    <w:tblStylePr w:type="band1Horz">
      <w:tblPr/>
      <w:tcPr>
        <w:tcBorders>
          <w:insideH w:color="4BACC6" w:space="0" w:sz="6" w:themeColor="accent5" w:val="single"/>
          <w:insideV w:color="4BACC6" w:space="0" w:sz="6" w:themeColor="accent5" w:val="single"/>
        </w:tcBorders>
        <w:shd w:color="auto" w:fill="A5D5E2" w:themeFill="accent5" w:themeFillTint="7F" w:val="clear"/>
      </w:tcPr>
    </w:tblStylePr>
    <w:tblStylePr w:type="nwCell">
      <w:tblPr/>
      <w:tcPr>
        <w:shd w:color="auto" w:fill="FFFFFF" w:themeFill="background1" w:val="clear"/>
      </w:tcPr>
    </w:tblStylePr>
  </w:style>
  <w:style w:styleId="MediumGrid2-Accent6" w:type="table">
    <w:name w:val="Medium Grid 2 Accent 6"/>
    <w:basedOn w:val="TableNormal"/>
    <w:uiPriority w:val="68"/>
    <w:rsid w:val="00CB0664"/>
    <w:pPr>
      <w:spacing w:after="0" w:line="240" w:lineRule="auto"/>
    </w:pPr>
    <w:rPr>
      <w:rFonts w:asciiTheme="majorHAnsi" w:cstheme="majorBidi" w:eastAsiaTheme="majorEastAsia" w:hAnsiTheme="majorHAnsi"/>
      <w:color w:themeColor="text1" w:val="000000"/>
    </w:rPr>
    <w:tblPr>
      <w:tblStyleRowBandSize w:val="1"/>
      <w:tblStyleColBandSize w:val="1"/>
      <w:tblInd w:type="dxa" w:w="0"/>
      <w:tblBorders>
        <w:top w:color="F79646" w:space="0" w:sz="8" w:themeColor="accent6" w:val="single"/>
        <w:left w:color="F79646" w:space="0" w:sz="8" w:themeColor="accent6" w:val="single"/>
        <w:bottom w:color="F79646" w:space="0" w:sz="8" w:themeColor="accent6" w:val="single"/>
        <w:right w:color="F79646" w:space="0" w:sz="8" w:themeColor="accent6" w:val="single"/>
        <w:insideH w:color="F79646" w:space="0" w:sz="8" w:themeColor="accent6" w:val="single"/>
        <w:insideV w:color="F79646" w:space="0" w:sz="8" w:themeColor="accent6" w:val="single"/>
      </w:tblBorders>
      <w:tblCellMar>
        <w:top w:type="dxa" w:w="0"/>
        <w:left w:type="dxa" w:w="108"/>
        <w:bottom w:type="dxa" w:w="0"/>
        <w:right w:type="dxa" w:w="108"/>
      </w:tblCellMar>
    </w:tblPr>
    <w:tcPr>
      <w:shd w:color="auto" w:fill="FDE4D0" w:themeFill="accent6" w:themeFillTint="3F" w:val="clear"/>
    </w:tcPr>
    <w:tblStylePr w:type="firstRow">
      <w:rPr>
        <w:b/>
        <w:bCs/>
        <w:color w:themeColor="text1" w:val="000000"/>
      </w:rPr>
      <w:tblPr/>
      <w:tcPr>
        <w:shd w:color="auto" w:fill="FEF4EC" w:themeFill="accent6" w:themeFillTint="19" w:val="clear"/>
      </w:tcPr>
    </w:tblStylePr>
    <w:tblStylePr w:type="lastRow">
      <w:rPr>
        <w:b/>
        <w:bCs/>
        <w:color w:themeColor="text1" w:val="000000"/>
      </w:rPr>
      <w:tblPr/>
      <w:tcPr>
        <w:tcBorders>
          <w:top w:color="000000" w:space="0" w:sz="12" w:themeColor="text1" w:val="single"/>
          <w:left w:val="nil"/>
          <w:bottom w:val="nil"/>
          <w:right w:val="nil"/>
          <w:insideH w:val="nil"/>
          <w:insideV w:val="nil"/>
        </w:tcBorders>
        <w:shd w:color="auto" w:fill="FFFFFF" w:themeFill="background1" w:val="clear"/>
      </w:tcPr>
    </w:tblStylePr>
    <w:tblStylePr w:type="firstCol">
      <w:rPr>
        <w:b/>
        <w:bCs/>
        <w:color w:themeColor="text1" w:val="000000"/>
      </w:rPr>
      <w:tblPr/>
      <w:tcPr>
        <w:tcBorders>
          <w:top w:val="nil"/>
          <w:left w:val="nil"/>
          <w:bottom w:val="nil"/>
          <w:right w:val="nil"/>
          <w:insideH w:val="nil"/>
          <w:insideV w:val="nil"/>
        </w:tcBorders>
        <w:shd w:color="auto" w:fill="FFFFFF" w:themeFill="background1" w:val="clear"/>
      </w:tcPr>
    </w:tblStylePr>
    <w:tblStylePr w:type="lastCol">
      <w:rPr>
        <w:b w:val="0"/>
        <w:bCs w:val="0"/>
        <w:color w:themeColor="text1" w:val="000000"/>
      </w:rPr>
      <w:tblPr/>
      <w:tcPr>
        <w:tcBorders>
          <w:top w:val="nil"/>
          <w:left w:val="nil"/>
          <w:bottom w:val="nil"/>
          <w:right w:val="nil"/>
          <w:insideH w:val="nil"/>
          <w:insideV w:val="nil"/>
        </w:tcBorders>
        <w:shd w:color="auto" w:fill="FDE9D9" w:themeFill="accent6" w:themeFillTint="33" w:val="clear"/>
      </w:tcPr>
    </w:tblStylePr>
    <w:tblStylePr w:type="band1Vert">
      <w:tblPr/>
      <w:tcPr>
        <w:shd w:color="auto" w:fill="FBCAA2" w:themeFill="accent6" w:themeFillTint="7F" w:val="clear"/>
      </w:tcPr>
    </w:tblStylePr>
    <w:tblStylePr w:type="band1Horz">
      <w:tblPr/>
      <w:tcPr>
        <w:tcBorders>
          <w:insideH w:color="F79646" w:space="0" w:sz="6" w:themeColor="accent6" w:val="single"/>
          <w:insideV w:color="F79646" w:space="0" w:sz="6" w:themeColor="accent6" w:val="single"/>
        </w:tcBorders>
        <w:shd w:color="auto" w:fill="FBCAA2" w:themeFill="accent6" w:themeFillTint="7F" w:val="clear"/>
      </w:tcPr>
    </w:tblStylePr>
    <w:tblStylePr w:type="nwCell">
      <w:tblPr/>
      <w:tcPr>
        <w:shd w:color="auto" w:fill="FFFFFF" w:themeFill="background1" w:val="clear"/>
      </w:tcPr>
    </w:tblStylePr>
  </w:style>
  <w:style w:styleId="MediumGrid3" w:type="table">
    <w:name w:val="Medium Grid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C0C0C0" w:themeFill="tex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000000" w:themeFill="tex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000000" w:themeFill="tex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808080" w:themeFill="tex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7F" w:val="clear"/>
      </w:tcPr>
    </w:tblStylePr>
  </w:style>
  <w:style w:styleId="MediumGrid3-Accent1" w:type="table">
    <w:name w:val="Medium Grid 3 Accent 1"/>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3DFEE" w:themeFill="accent1"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F81BD" w:themeFill="accent1"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F81BD" w:themeFill="accent1"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F81BD"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7BFDE" w:themeFill="accent1"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7BFDE" w:themeFill="accent1" w:themeFillTint="7F" w:val="clear"/>
      </w:tcPr>
    </w:tblStylePr>
  </w:style>
  <w:style w:styleId="MediumGrid3-Accent2" w:type="table">
    <w:name w:val="Medium Grid 3 Accent 2"/>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FD3D2" w:themeFill="accent2"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C0504D" w:themeFill="accent2"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C0504D" w:themeFill="accent2"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C0504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DFA7A6" w:themeFill="accent2"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FA7A6" w:themeFill="accent2" w:themeFillTint="7F" w:val="clear"/>
      </w:tcPr>
    </w:tblStylePr>
  </w:style>
  <w:style w:styleId="MediumGrid3-Accent3" w:type="table">
    <w:name w:val="Medium Grid 3 Accent 3"/>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E6EED5" w:themeFill="accent3"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9BBB59" w:themeFill="accent3"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9BBB59" w:themeFill="accent3"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9BBB5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CDDDAC" w:themeFill="accent3"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DDAC" w:themeFill="accent3" w:themeFillTint="7F" w:val="clear"/>
      </w:tcPr>
    </w:tblStylePr>
  </w:style>
  <w:style w:styleId="MediumGrid3-Accent4" w:type="table">
    <w:name w:val="Medium Grid 3 Accent 4"/>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FD8E8" w:themeFill="accent4"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8064A2" w:themeFill="accent4"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8064A2" w:themeFill="accent4"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8064A2"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BFB1D0" w:themeFill="accent4"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B1D0" w:themeFill="accent4" w:themeFillTint="7F" w:val="clear"/>
      </w:tcPr>
    </w:tblStylePr>
  </w:style>
  <w:style w:styleId="MediumGrid3-Accent5" w:type="table">
    <w:name w:val="Medium Grid 3 Accent 5"/>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D2EAF1" w:themeFill="accent5"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4BACC6" w:themeFill="accent5"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4BACC6" w:themeFill="accent5"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4BACC6"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A5D5E2" w:themeFill="accent5"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A5D5E2" w:themeFill="accent5" w:themeFillTint="7F" w:val="clear"/>
      </w:tcPr>
    </w:tblStylePr>
  </w:style>
  <w:style w:styleId="MediumGrid3-Accent6" w:type="table">
    <w:name w:val="Medium Grid 3 Accent 6"/>
    <w:basedOn w:val="TableNormal"/>
    <w:uiPriority w:val="69"/>
    <w:rsid w:val="00CB0664"/>
    <w:pPr>
      <w:spacing w:after="0" w:line="240" w:lineRule="auto"/>
    </w:pPr>
    <w:tblPr>
      <w:tblStyleRowBandSize w:val="1"/>
      <w:tblStyleColBandSize w:val="1"/>
      <w:tblInd w:type="dxa" w:w="0"/>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type="dxa" w:w="0"/>
        <w:left w:type="dxa" w:w="108"/>
        <w:bottom w:type="dxa" w:w="0"/>
        <w:right w:type="dxa" w:w="108"/>
      </w:tblCellMar>
    </w:tblPr>
    <w:tcPr>
      <w:shd w:color="auto" w:fill="FDE4D0" w:themeFill="accent6" w:themeFillTint="3F" w:val="clear"/>
    </w:tcPr>
    <w:tblStylePr w:type="firstRow">
      <w:rPr>
        <w:b/>
        <w:bCs/>
        <w:i w:val="0"/>
        <w:iCs w:val="0"/>
        <w:color w:themeColor="background1" w:val="FFFFFF"/>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lastRow">
      <w:rPr>
        <w:b/>
        <w:bCs/>
        <w:i w:val="0"/>
        <w:iCs w:val="0"/>
        <w:color w:themeColor="background1" w:val="FFFFFF"/>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val="nil"/>
          <w:insideV w:color="FFFFFF" w:space="0" w:sz="8" w:themeColor="background1" w:val="single"/>
        </w:tcBorders>
        <w:shd w:color="auto" w:fill="F79646" w:themeFill="accent6" w:val="clear"/>
      </w:tcPr>
    </w:tblStylePr>
    <w:tblStylePr w:type="firstCol">
      <w:rPr>
        <w:b/>
        <w:bCs/>
        <w:i w:val="0"/>
        <w:iCs w:val="0"/>
        <w:color w:themeColor="background1" w:val="FFFFFF"/>
      </w:rPr>
      <w:tblPr/>
      <w:tcPr>
        <w:tcBorders>
          <w:left w:color="FFFFFF" w:space="0" w:sz="8" w:themeColor="background1" w:val="single"/>
          <w:right w:color="FFFFFF" w:space="0" w:sz="24" w:themeColor="background1" w:val="single"/>
          <w:insideH w:val="nil"/>
          <w:insideV w:val="nil"/>
        </w:tcBorders>
        <w:shd w:color="auto" w:fill="F79646" w:themeFill="accent6" w:val="clear"/>
      </w:tcPr>
    </w:tblStylePr>
    <w:tblStylePr w:type="lastCol">
      <w:rPr>
        <w:b/>
        <w:bCs/>
        <w:i w:val="0"/>
        <w:iCs w:val="0"/>
        <w:color w:themeColor="background1" w:val="FFFFFF"/>
      </w:rPr>
      <w:tblPr/>
      <w:tcPr>
        <w:tcBorders>
          <w:top w:val="nil"/>
          <w:left w:color="FFFFFF" w:space="0" w:sz="24" w:themeColor="background1" w:val="single"/>
          <w:bottom w:val="nil"/>
          <w:right w:val="nil"/>
          <w:insideH w:val="nil"/>
          <w:insideV w:val="nil"/>
        </w:tcBorders>
        <w:shd w:color="auto" w:fill="F79646"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val="nil"/>
          <w:insideV w:val="nil"/>
        </w:tcBorders>
        <w:shd w:color="auto" w:fill="FBCAA2" w:themeFill="accent6" w:themeFillTint="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BCAA2" w:themeFill="accent6" w:themeFillTint="7F" w:val="clear"/>
      </w:tcPr>
    </w:tblStylePr>
  </w:style>
  <w:style w:styleId="DarkList" w:type="table">
    <w:name w:val="Dark List"/>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000000" w:themeFill="tex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000000" w:themeFill="text1" w:themeFillShade="7F" w:val="clear"/>
      </w:tcPr>
    </w:tblStylePr>
    <w:tblStylePr w:type="firstCol">
      <w:tblPr/>
      <w:tcPr>
        <w:tcBorders>
          <w:top w:val="nil"/>
          <w:left w:val="nil"/>
          <w:bottom w:val="nil"/>
          <w:right w:color="FFFFFF" w:space="0" w:sz="18" w:themeColor="background1" w:val="single"/>
          <w:insideH w:val="nil"/>
          <w:insideV w:val="nil"/>
        </w:tcBorders>
        <w:shd w:color="auto" w:fill="000000" w:themeFill="text1" w:themeFillShade="BF" w:val="clear"/>
      </w:tcPr>
    </w:tblStylePr>
    <w:tblStylePr w:type="lastCol">
      <w:tblPr/>
      <w:tcPr>
        <w:tcBorders>
          <w:top w:val="nil"/>
          <w:left w:color="FFFFFF" w:space="0" w:sz="18" w:themeColor="background1" w:val="single"/>
          <w:bottom w:val="nil"/>
          <w:right w:val="nil"/>
          <w:insideH w:val="nil"/>
          <w:insideV w:val="nil"/>
        </w:tcBorders>
        <w:shd w:color="auto" w:fill="000000" w:themeFill="text1" w:themeFillShade="BF" w:val="clear"/>
      </w:tcPr>
    </w:tblStylePr>
    <w:tblStylePr w:type="band1Vert">
      <w:tblPr/>
      <w:tcPr>
        <w:tcBorders>
          <w:top w:val="nil"/>
          <w:left w:val="nil"/>
          <w:bottom w:val="nil"/>
          <w:right w:val="nil"/>
          <w:insideH w:val="nil"/>
          <w:insideV w:val="nil"/>
        </w:tcBorders>
        <w:shd w:color="auto" w:fill="000000" w:themeFill="text1" w:themeFillShade="BF" w:val="clear"/>
      </w:tcPr>
    </w:tblStylePr>
    <w:tblStylePr w:type="band1Horz">
      <w:tblPr/>
      <w:tcPr>
        <w:tcBorders>
          <w:top w:val="nil"/>
          <w:left w:val="nil"/>
          <w:bottom w:val="nil"/>
          <w:right w:val="nil"/>
          <w:insideH w:val="nil"/>
          <w:insideV w:val="nil"/>
        </w:tcBorders>
        <w:shd w:color="auto" w:fill="000000" w:themeFill="text1" w:themeFillShade="BF" w:val="clear"/>
      </w:tcPr>
    </w:tblStylePr>
  </w:style>
  <w:style w:styleId="DarkList-Accent1" w:type="table">
    <w:name w:val="Dark List Accent 1"/>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F81BD" w:themeFill="accent1"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43F60" w:themeFill="accent1" w:themeFillShade="7F" w:val="clear"/>
      </w:tcPr>
    </w:tblStylePr>
    <w:tblStylePr w:type="firstCol">
      <w:tblPr/>
      <w:tcPr>
        <w:tcBorders>
          <w:top w:val="nil"/>
          <w:left w:val="nil"/>
          <w:bottom w:val="nil"/>
          <w:right w:color="FFFFFF" w:space="0" w:sz="18" w:themeColor="background1" w:val="single"/>
          <w:insideH w:val="nil"/>
          <w:insideV w:val="nil"/>
        </w:tcBorders>
        <w:shd w:color="auto" w:fill="365F91" w:themeFill="accent1" w:themeFillShade="BF" w:val="clear"/>
      </w:tcPr>
    </w:tblStylePr>
    <w:tblStylePr w:type="lastCol">
      <w:tblPr/>
      <w:tcPr>
        <w:tcBorders>
          <w:top w:val="nil"/>
          <w:left w:color="FFFFFF" w:space="0" w:sz="18" w:themeColor="background1" w:val="single"/>
          <w:bottom w:val="nil"/>
          <w:right w:val="nil"/>
          <w:insideH w:val="nil"/>
          <w:insideV w:val="nil"/>
        </w:tcBorders>
        <w:shd w:color="auto" w:fill="365F91" w:themeFill="accent1" w:themeFillShade="BF" w:val="clear"/>
      </w:tcPr>
    </w:tblStylePr>
    <w:tblStylePr w:type="band1Vert">
      <w:tblPr/>
      <w:tcPr>
        <w:tcBorders>
          <w:top w:val="nil"/>
          <w:left w:val="nil"/>
          <w:bottom w:val="nil"/>
          <w:right w:val="nil"/>
          <w:insideH w:val="nil"/>
          <w:insideV w:val="nil"/>
        </w:tcBorders>
        <w:shd w:color="auto" w:fill="365F91" w:themeFill="accent1" w:themeFillShade="BF" w:val="clear"/>
      </w:tcPr>
    </w:tblStylePr>
    <w:tblStylePr w:type="band1Horz">
      <w:tblPr/>
      <w:tcPr>
        <w:tcBorders>
          <w:top w:val="nil"/>
          <w:left w:val="nil"/>
          <w:bottom w:val="nil"/>
          <w:right w:val="nil"/>
          <w:insideH w:val="nil"/>
          <w:insideV w:val="nil"/>
        </w:tcBorders>
        <w:shd w:color="auto" w:fill="365F91" w:themeFill="accent1" w:themeFillShade="BF" w:val="clear"/>
      </w:tcPr>
    </w:tblStylePr>
  </w:style>
  <w:style w:styleId="DarkList-Accent2" w:type="table">
    <w:name w:val="Dark List Accent 2"/>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C0504D" w:themeFill="accent2"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622423" w:themeFill="accent2" w:themeFillShade="7F" w:val="clear"/>
      </w:tcPr>
    </w:tblStylePr>
    <w:tblStylePr w:type="firstCol">
      <w:tblPr/>
      <w:tcPr>
        <w:tcBorders>
          <w:top w:val="nil"/>
          <w:left w:val="nil"/>
          <w:bottom w:val="nil"/>
          <w:right w:color="FFFFFF" w:space="0" w:sz="18" w:themeColor="background1" w:val="single"/>
          <w:insideH w:val="nil"/>
          <w:insideV w:val="nil"/>
        </w:tcBorders>
        <w:shd w:color="auto" w:fill="943634" w:themeFill="accent2" w:themeFillShade="BF" w:val="clear"/>
      </w:tcPr>
    </w:tblStylePr>
    <w:tblStylePr w:type="lastCol">
      <w:tblPr/>
      <w:tcPr>
        <w:tcBorders>
          <w:top w:val="nil"/>
          <w:left w:color="FFFFFF" w:space="0" w:sz="18" w:themeColor="background1" w:val="single"/>
          <w:bottom w:val="nil"/>
          <w:right w:val="nil"/>
          <w:insideH w:val="nil"/>
          <w:insideV w:val="nil"/>
        </w:tcBorders>
        <w:shd w:color="auto" w:fill="943634" w:themeFill="accent2" w:themeFillShade="BF" w:val="clear"/>
      </w:tcPr>
    </w:tblStylePr>
    <w:tblStylePr w:type="band1Vert">
      <w:tblPr/>
      <w:tcPr>
        <w:tcBorders>
          <w:top w:val="nil"/>
          <w:left w:val="nil"/>
          <w:bottom w:val="nil"/>
          <w:right w:val="nil"/>
          <w:insideH w:val="nil"/>
          <w:insideV w:val="nil"/>
        </w:tcBorders>
        <w:shd w:color="auto" w:fill="943634" w:themeFill="accent2" w:themeFillShade="BF" w:val="clear"/>
      </w:tcPr>
    </w:tblStylePr>
    <w:tblStylePr w:type="band1Horz">
      <w:tblPr/>
      <w:tcPr>
        <w:tcBorders>
          <w:top w:val="nil"/>
          <w:left w:val="nil"/>
          <w:bottom w:val="nil"/>
          <w:right w:val="nil"/>
          <w:insideH w:val="nil"/>
          <w:insideV w:val="nil"/>
        </w:tcBorders>
        <w:shd w:color="auto" w:fill="943634" w:themeFill="accent2" w:themeFillShade="BF" w:val="clear"/>
      </w:tcPr>
    </w:tblStylePr>
  </w:style>
  <w:style w:styleId="DarkList-Accent3" w:type="table">
    <w:name w:val="Dark List Accent 3"/>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9BBB59" w:themeFill="accent3"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4E6128" w:themeFill="accent3" w:themeFillShade="7F" w:val="clear"/>
      </w:tcPr>
    </w:tblStylePr>
    <w:tblStylePr w:type="firstCol">
      <w:tblPr/>
      <w:tcPr>
        <w:tcBorders>
          <w:top w:val="nil"/>
          <w:left w:val="nil"/>
          <w:bottom w:val="nil"/>
          <w:right w:color="FFFFFF" w:space="0" w:sz="18" w:themeColor="background1" w:val="single"/>
          <w:insideH w:val="nil"/>
          <w:insideV w:val="nil"/>
        </w:tcBorders>
        <w:shd w:color="auto" w:fill="76923C" w:themeFill="accent3" w:themeFillShade="BF" w:val="clear"/>
      </w:tcPr>
    </w:tblStylePr>
    <w:tblStylePr w:type="lastCol">
      <w:tblPr/>
      <w:tcPr>
        <w:tcBorders>
          <w:top w:val="nil"/>
          <w:left w:color="FFFFFF" w:space="0" w:sz="18" w:themeColor="background1" w:val="single"/>
          <w:bottom w:val="nil"/>
          <w:right w:val="nil"/>
          <w:insideH w:val="nil"/>
          <w:insideV w:val="nil"/>
        </w:tcBorders>
        <w:shd w:color="auto" w:fill="76923C" w:themeFill="accent3" w:themeFillShade="BF" w:val="clear"/>
      </w:tcPr>
    </w:tblStylePr>
    <w:tblStylePr w:type="band1Vert">
      <w:tblPr/>
      <w:tcPr>
        <w:tcBorders>
          <w:top w:val="nil"/>
          <w:left w:val="nil"/>
          <w:bottom w:val="nil"/>
          <w:right w:val="nil"/>
          <w:insideH w:val="nil"/>
          <w:insideV w:val="nil"/>
        </w:tcBorders>
        <w:shd w:color="auto" w:fill="76923C" w:themeFill="accent3" w:themeFillShade="BF" w:val="clear"/>
      </w:tcPr>
    </w:tblStylePr>
    <w:tblStylePr w:type="band1Horz">
      <w:tblPr/>
      <w:tcPr>
        <w:tcBorders>
          <w:top w:val="nil"/>
          <w:left w:val="nil"/>
          <w:bottom w:val="nil"/>
          <w:right w:val="nil"/>
          <w:insideH w:val="nil"/>
          <w:insideV w:val="nil"/>
        </w:tcBorders>
        <w:shd w:color="auto" w:fill="76923C" w:themeFill="accent3" w:themeFillShade="BF" w:val="clear"/>
      </w:tcPr>
    </w:tblStylePr>
  </w:style>
  <w:style w:styleId="DarkList-Accent4" w:type="table">
    <w:name w:val="Dark List Accent 4"/>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8064A2" w:themeFill="accent4"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3F3151" w:themeFill="accent4" w:themeFillShade="7F" w:val="clear"/>
      </w:tcPr>
    </w:tblStylePr>
    <w:tblStylePr w:type="firstCol">
      <w:tblPr/>
      <w:tcPr>
        <w:tcBorders>
          <w:top w:val="nil"/>
          <w:left w:val="nil"/>
          <w:bottom w:val="nil"/>
          <w:right w:color="FFFFFF" w:space="0" w:sz="18" w:themeColor="background1" w:val="single"/>
          <w:insideH w:val="nil"/>
          <w:insideV w:val="nil"/>
        </w:tcBorders>
        <w:shd w:color="auto" w:fill="5F497A" w:themeFill="accent4" w:themeFillShade="BF" w:val="clear"/>
      </w:tcPr>
    </w:tblStylePr>
    <w:tblStylePr w:type="lastCol">
      <w:tblPr/>
      <w:tcPr>
        <w:tcBorders>
          <w:top w:val="nil"/>
          <w:left w:color="FFFFFF" w:space="0" w:sz="18" w:themeColor="background1" w:val="single"/>
          <w:bottom w:val="nil"/>
          <w:right w:val="nil"/>
          <w:insideH w:val="nil"/>
          <w:insideV w:val="nil"/>
        </w:tcBorders>
        <w:shd w:color="auto" w:fill="5F497A" w:themeFill="accent4" w:themeFillShade="BF" w:val="clear"/>
      </w:tcPr>
    </w:tblStylePr>
    <w:tblStylePr w:type="band1Vert">
      <w:tblPr/>
      <w:tcPr>
        <w:tcBorders>
          <w:top w:val="nil"/>
          <w:left w:val="nil"/>
          <w:bottom w:val="nil"/>
          <w:right w:val="nil"/>
          <w:insideH w:val="nil"/>
          <w:insideV w:val="nil"/>
        </w:tcBorders>
        <w:shd w:color="auto" w:fill="5F497A" w:themeFill="accent4" w:themeFillShade="BF" w:val="clear"/>
      </w:tcPr>
    </w:tblStylePr>
    <w:tblStylePr w:type="band1Horz">
      <w:tblPr/>
      <w:tcPr>
        <w:tcBorders>
          <w:top w:val="nil"/>
          <w:left w:val="nil"/>
          <w:bottom w:val="nil"/>
          <w:right w:val="nil"/>
          <w:insideH w:val="nil"/>
          <w:insideV w:val="nil"/>
        </w:tcBorders>
        <w:shd w:color="auto" w:fill="5F497A" w:themeFill="accent4" w:themeFillShade="BF" w:val="clear"/>
      </w:tcPr>
    </w:tblStylePr>
  </w:style>
  <w:style w:styleId="DarkList-Accent5" w:type="table">
    <w:name w:val="Dark List Accent 5"/>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4BACC6" w:themeFill="accent5"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205867" w:themeFill="accent5" w:themeFillShade="7F" w:val="clear"/>
      </w:tcPr>
    </w:tblStylePr>
    <w:tblStylePr w:type="firstCol">
      <w:tblPr/>
      <w:tcPr>
        <w:tcBorders>
          <w:top w:val="nil"/>
          <w:left w:val="nil"/>
          <w:bottom w:val="nil"/>
          <w:right w:color="FFFFFF" w:space="0" w:sz="18" w:themeColor="background1" w:val="single"/>
          <w:insideH w:val="nil"/>
          <w:insideV w:val="nil"/>
        </w:tcBorders>
        <w:shd w:color="auto" w:fill="31849B" w:themeFill="accent5" w:themeFillShade="BF" w:val="clear"/>
      </w:tcPr>
    </w:tblStylePr>
    <w:tblStylePr w:type="lastCol">
      <w:tblPr/>
      <w:tcPr>
        <w:tcBorders>
          <w:top w:val="nil"/>
          <w:left w:color="FFFFFF" w:space="0" w:sz="18" w:themeColor="background1" w:val="single"/>
          <w:bottom w:val="nil"/>
          <w:right w:val="nil"/>
          <w:insideH w:val="nil"/>
          <w:insideV w:val="nil"/>
        </w:tcBorders>
        <w:shd w:color="auto" w:fill="31849B" w:themeFill="accent5" w:themeFillShade="BF" w:val="clear"/>
      </w:tcPr>
    </w:tblStylePr>
    <w:tblStylePr w:type="band1Vert">
      <w:tblPr/>
      <w:tcPr>
        <w:tcBorders>
          <w:top w:val="nil"/>
          <w:left w:val="nil"/>
          <w:bottom w:val="nil"/>
          <w:right w:val="nil"/>
          <w:insideH w:val="nil"/>
          <w:insideV w:val="nil"/>
        </w:tcBorders>
        <w:shd w:color="auto" w:fill="31849B" w:themeFill="accent5" w:themeFillShade="BF" w:val="clear"/>
      </w:tcPr>
    </w:tblStylePr>
    <w:tblStylePr w:type="band1Horz">
      <w:tblPr/>
      <w:tcPr>
        <w:tcBorders>
          <w:top w:val="nil"/>
          <w:left w:val="nil"/>
          <w:bottom w:val="nil"/>
          <w:right w:val="nil"/>
          <w:insideH w:val="nil"/>
          <w:insideV w:val="nil"/>
        </w:tcBorders>
        <w:shd w:color="auto" w:fill="31849B" w:themeFill="accent5" w:themeFillShade="BF" w:val="clear"/>
      </w:tcPr>
    </w:tblStylePr>
  </w:style>
  <w:style w:styleId="DarkList-Accent6" w:type="table">
    <w:name w:val="Dark List Accent 6"/>
    <w:basedOn w:val="TableNormal"/>
    <w:uiPriority w:val="70"/>
    <w:rsid w:val="00CB0664"/>
    <w:pPr>
      <w:spacing w:after="0" w:line="240" w:lineRule="auto"/>
    </w:pPr>
    <w:rPr>
      <w:color w:themeColor="background1" w:val="FFFFFF"/>
    </w:rPr>
    <w:tblPr>
      <w:tblStyleRowBandSize w:val="1"/>
      <w:tblStyleColBandSize w:val="1"/>
      <w:tblInd w:type="dxa" w:w="0"/>
      <w:tblCellMar>
        <w:top w:type="dxa" w:w="0"/>
        <w:left w:type="dxa" w:w="108"/>
        <w:bottom w:type="dxa" w:w="0"/>
        <w:right w:type="dxa" w:w="108"/>
      </w:tblCellMar>
    </w:tblPr>
    <w:tcPr>
      <w:shd w:color="auto" w:fill="F79646" w:themeFill="accent6" w:val="clear"/>
    </w:tcPr>
    <w:tblStylePr w:type="firstRow">
      <w:rPr>
        <w:b/>
        <w:bCs/>
      </w:rPr>
      <w:tblPr/>
      <w:tcPr>
        <w:tcBorders>
          <w:top w:val="nil"/>
          <w:left w:val="nil"/>
          <w:bottom w:color="FFFFFF" w:space="0" w:sz="18" w:themeColor="background1" w:val="single"/>
          <w:right w:val="nil"/>
          <w:insideH w:val="nil"/>
          <w:insideV w:val="nil"/>
        </w:tcBorders>
        <w:shd w:color="auto" w:fill="000000" w:themeFill="text1" w:val="clear"/>
      </w:tcPr>
    </w:tblStylePr>
    <w:tblStylePr w:type="lastRow">
      <w:tblPr/>
      <w:tcPr>
        <w:tcBorders>
          <w:top w:color="FFFFFF" w:space="0" w:sz="18" w:themeColor="background1" w:val="single"/>
          <w:left w:val="nil"/>
          <w:bottom w:val="nil"/>
          <w:right w:val="nil"/>
          <w:insideH w:val="nil"/>
          <w:insideV w:val="nil"/>
        </w:tcBorders>
        <w:shd w:color="auto" w:fill="974706" w:themeFill="accent6" w:themeFillShade="7F" w:val="clear"/>
      </w:tcPr>
    </w:tblStylePr>
    <w:tblStylePr w:type="firstCol">
      <w:tblPr/>
      <w:tcPr>
        <w:tcBorders>
          <w:top w:val="nil"/>
          <w:left w:val="nil"/>
          <w:bottom w:val="nil"/>
          <w:right w:color="FFFFFF" w:space="0" w:sz="18" w:themeColor="background1" w:val="single"/>
          <w:insideH w:val="nil"/>
          <w:insideV w:val="nil"/>
        </w:tcBorders>
        <w:shd w:color="auto" w:fill="E36C0A" w:themeFill="accent6" w:themeFillShade="BF" w:val="clear"/>
      </w:tcPr>
    </w:tblStylePr>
    <w:tblStylePr w:type="lastCol">
      <w:tblPr/>
      <w:tcPr>
        <w:tcBorders>
          <w:top w:val="nil"/>
          <w:left w:color="FFFFFF" w:space="0" w:sz="18" w:themeColor="background1" w:val="single"/>
          <w:bottom w:val="nil"/>
          <w:right w:val="nil"/>
          <w:insideH w:val="nil"/>
          <w:insideV w:val="nil"/>
        </w:tcBorders>
        <w:shd w:color="auto" w:fill="E36C0A" w:themeFill="accent6" w:themeFillShade="BF" w:val="clear"/>
      </w:tcPr>
    </w:tblStylePr>
    <w:tblStylePr w:type="band1Vert">
      <w:tblPr/>
      <w:tcPr>
        <w:tcBorders>
          <w:top w:val="nil"/>
          <w:left w:val="nil"/>
          <w:bottom w:val="nil"/>
          <w:right w:val="nil"/>
          <w:insideH w:val="nil"/>
          <w:insideV w:val="nil"/>
        </w:tcBorders>
        <w:shd w:color="auto" w:fill="E36C0A" w:themeFill="accent6" w:themeFillShade="BF" w:val="clear"/>
      </w:tcPr>
    </w:tblStylePr>
    <w:tblStylePr w:type="band1Horz">
      <w:tblPr/>
      <w:tcPr>
        <w:tcBorders>
          <w:top w:val="nil"/>
          <w:left w:val="nil"/>
          <w:bottom w:val="nil"/>
          <w:right w:val="nil"/>
          <w:insideH w:val="nil"/>
          <w:insideV w:val="nil"/>
        </w:tcBorders>
        <w:shd w:color="auto" w:fill="E36C0A" w:themeFill="accent6" w:themeFillShade="BF" w:val="clear"/>
      </w:tcPr>
    </w:tblStylePr>
  </w:style>
  <w:style w:styleId="ColorfulShading" w:type="table">
    <w:name w:val="Colorful Shading"/>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6E6E6" w:themeFill="tex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000000" w:themeFill="text1" w:themeFillShade="99" w:val="clear"/>
      </w:tcPr>
    </w:tblStylePr>
    <w:tblStylePr w:type="firstCol">
      <w:rPr>
        <w:color w:themeColor="background1" w:val="FFFFFF"/>
      </w:rPr>
      <w:tblPr/>
      <w:tcPr>
        <w:tcBorders>
          <w:top w:val="nil"/>
          <w:left w:val="nil"/>
          <w:bottom w:val="nil"/>
          <w:right w:val="nil"/>
          <w:insideH w:color="000000" w:space="0" w:sz="4" w:themeColor="text1" w:themeShade="99" w:val="single"/>
          <w:insideV w:val="nil"/>
        </w:tcBorders>
        <w:shd w:color="auto" w:fill="000000" w:themeFill="text1" w:themeFillShade="99" w:val="clear"/>
      </w:tcPr>
    </w:tblStylePr>
    <w:tblStylePr w:type="lastCol">
      <w:rPr>
        <w:color w:themeColor="background1" w:val="FFFFFF"/>
      </w:rPr>
      <w:tblPr/>
      <w:tcPr>
        <w:tcBorders>
          <w:top w:val="nil"/>
          <w:left w:val="nil"/>
          <w:bottom w:val="nil"/>
          <w:right w:val="nil"/>
          <w:insideH w:val="nil"/>
          <w:insideV w:val="nil"/>
        </w:tcBorders>
        <w:shd w:color="auto" w:fill="000000" w:themeFill="text1" w:themeFillShade="BF" w:val="clear"/>
      </w:tcPr>
    </w:tblStylePr>
    <w:tblStylePr w:type="band1Vert">
      <w:tblPr/>
      <w:tcPr>
        <w:shd w:color="auto" w:fill="999999" w:themeFill="text1" w:themeFillTint="66" w:val="clear"/>
      </w:tcPr>
    </w:tblStylePr>
    <w:tblStylePr w:type="band1Horz">
      <w:tblPr/>
      <w:tcPr>
        <w:shd w:color="auto" w:fill="808080" w:themeFill="text1" w:themeFillTint="7F" w:val="clear"/>
      </w:tcPr>
    </w:tblStylePr>
    <w:tblStylePr w:type="neCell">
      <w:rPr>
        <w:color w:themeColor="text1" w:val="000000"/>
      </w:rPr>
    </w:tblStylePr>
    <w:tblStylePr w:type="nwCell">
      <w:rPr>
        <w:color w:themeColor="text1" w:val="000000"/>
      </w:rPr>
    </w:tblStylePr>
  </w:style>
  <w:style w:styleId="ColorfulShading-Accent1" w:type="table">
    <w:name w:val="Colorful Shading Accent 1"/>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4F81BD" w:space="0" w:sz="4" w:themeColor="accent1" w:val="single"/>
        <w:bottom w:color="4F81BD" w:space="0" w:sz="4" w:themeColor="accent1" w:val="single"/>
        <w:right w:color="4F81BD" w:space="0" w:sz="4" w:themeColor="accent1"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2F8" w:themeFill="accent1"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C4C74" w:themeFill="accent1" w:themeFillShade="99" w:val="clear"/>
      </w:tcPr>
    </w:tblStylePr>
    <w:tblStylePr w:type="firstCol">
      <w:rPr>
        <w:color w:themeColor="background1" w:val="FFFFFF"/>
      </w:rPr>
      <w:tblPr/>
      <w:tcPr>
        <w:tcBorders>
          <w:top w:val="nil"/>
          <w:left w:val="nil"/>
          <w:bottom w:val="nil"/>
          <w:right w:val="nil"/>
          <w:insideH w:color="2C4C74" w:space="0" w:sz="4" w:themeColor="accent1" w:themeShade="99" w:val="single"/>
          <w:insideV w:val="nil"/>
        </w:tcBorders>
        <w:shd w:color="auto" w:fill="2C4C74" w:themeFill="accent1" w:themeFillShade="99" w:val="clear"/>
      </w:tcPr>
    </w:tblStylePr>
    <w:tblStylePr w:type="lastCol">
      <w:rPr>
        <w:color w:themeColor="background1" w:val="FFFFFF"/>
      </w:rPr>
      <w:tblPr/>
      <w:tcPr>
        <w:tcBorders>
          <w:top w:val="nil"/>
          <w:left w:val="nil"/>
          <w:bottom w:val="nil"/>
          <w:right w:val="nil"/>
          <w:insideH w:val="nil"/>
          <w:insideV w:val="nil"/>
        </w:tcBorders>
        <w:shd w:color="auto" w:fill="2C4C74" w:themeFill="accent1" w:themeFillShade="99" w:val="clear"/>
      </w:tcPr>
    </w:tblStylePr>
    <w:tblStylePr w:type="band1Vert">
      <w:tblPr/>
      <w:tcPr>
        <w:shd w:color="auto" w:fill="B8CCE4" w:themeFill="accent1" w:themeFillTint="66" w:val="clear"/>
      </w:tcPr>
    </w:tblStylePr>
    <w:tblStylePr w:type="band1Horz">
      <w:tblPr/>
      <w:tcPr>
        <w:shd w:color="auto" w:fill="A7BFDE" w:themeFill="accent1" w:themeFillTint="7F" w:val="clear"/>
      </w:tcPr>
    </w:tblStylePr>
    <w:tblStylePr w:type="neCell">
      <w:rPr>
        <w:color w:themeColor="text1" w:val="000000"/>
      </w:rPr>
    </w:tblStylePr>
    <w:tblStylePr w:type="nwCell">
      <w:rPr>
        <w:color w:themeColor="text1" w:val="000000"/>
      </w:rPr>
    </w:tblStylePr>
  </w:style>
  <w:style w:styleId="ColorfulShading-Accent2" w:type="table">
    <w:name w:val="Colorful Shading Accent 2"/>
    <w:basedOn w:val="TableNormal"/>
    <w:uiPriority w:val="71"/>
    <w:rsid w:val="00CB0664"/>
    <w:pPr>
      <w:spacing w:after="0" w:line="240" w:lineRule="auto"/>
    </w:pPr>
    <w:rPr>
      <w:color w:themeColor="text1" w:val="000000"/>
    </w:rPr>
    <w:tblPr>
      <w:tblStyleRowBandSize w:val="1"/>
      <w:tblStyleColBandSize w:val="1"/>
      <w:tblInd w:type="dxa" w:w="0"/>
      <w:tblBorders>
        <w:top w:color="C0504D" w:space="0" w:sz="24" w:themeColor="accent2" w:val="single"/>
        <w:left w:color="C0504D" w:space="0" w:sz="4" w:themeColor="accent2" w:val="single"/>
        <w:bottom w:color="C0504D" w:space="0" w:sz="4" w:themeColor="accent2" w:val="single"/>
        <w:right w:color="C0504D" w:space="0" w:sz="4" w:themeColor="accent2"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8EDED" w:themeFill="accent2" w:themeFillTint="19" w:val="clear"/>
    </w:tcPr>
    <w:tblStylePr w:type="firstRow">
      <w:rPr>
        <w:b/>
        <w:bCs/>
      </w:rPr>
      <w:tblPr/>
      <w:tcPr>
        <w:tcBorders>
          <w:top w:val="nil"/>
          <w:left w:val="nil"/>
          <w:bottom w:color="C0504D" w:space="0" w:sz="24" w:themeColor="accent2"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772C2A" w:themeFill="accent2" w:themeFillShade="99" w:val="clear"/>
      </w:tcPr>
    </w:tblStylePr>
    <w:tblStylePr w:type="firstCol">
      <w:rPr>
        <w:color w:themeColor="background1" w:val="FFFFFF"/>
      </w:rPr>
      <w:tblPr/>
      <w:tcPr>
        <w:tcBorders>
          <w:top w:val="nil"/>
          <w:left w:val="nil"/>
          <w:bottom w:val="nil"/>
          <w:right w:val="nil"/>
          <w:insideH w:color="772C2A" w:space="0" w:sz="4" w:themeColor="accent2" w:themeShade="99" w:val="single"/>
          <w:insideV w:val="nil"/>
        </w:tcBorders>
        <w:shd w:color="auto" w:fill="772C2A" w:themeFill="accent2" w:themeFillShade="99" w:val="clear"/>
      </w:tcPr>
    </w:tblStylePr>
    <w:tblStylePr w:type="lastCol">
      <w:rPr>
        <w:color w:themeColor="background1" w:val="FFFFFF"/>
      </w:rPr>
      <w:tblPr/>
      <w:tcPr>
        <w:tcBorders>
          <w:top w:val="nil"/>
          <w:left w:val="nil"/>
          <w:bottom w:val="nil"/>
          <w:right w:val="nil"/>
          <w:insideH w:val="nil"/>
          <w:insideV w:val="nil"/>
        </w:tcBorders>
        <w:shd w:color="auto" w:fill="772C2A" w:themeFill="accent2" w:themeFillShade="99" w:val="clear"/>
      </w:tcPr>
    </w:tblStylePr>
    <w:tblStylePr w:type="band1Vert">
      <w:tblPr/>
      <w:tcPr>
        <w:shd w:color="auto" w:fill="E5B8B7" w:themeFill="accent2" w:themeFillTint="66" w:val="clear"/>
      </w:tcPr>
    </w:tblStylePr>
    <w:tblStylePr w:type="band1Horz">
      <w:tblPr/>
      <w:tcPr>
        <w:shd w:color="auto" w:fill="DFA7A6" w:themeFill="accent2" w:themeFillTint="7F" w:val="clear"/>
      </w:tcPr>
    </w:tblStylePr>
    <w:tblStylePr w:type="neCell">
      <w:rPr>
        <w:color w:themeColor="text1" w:val="000000"/>
      </w:rPr>
    </w:tblStylePr>
    <w:tblStylePr w:type="nwCell">
      <w:rPr>
        <w:color w:themeColor="text1" w:val="000000"/>
      </w:rPr>
    </w:tblStylePr>
  </w:style>
  <w:style w:styleId="ColorfulShading-Accent3" w:type="table">
    <w:name w:val="Colorful Shading Accent 3"/>
    <w:basedOn w:val="TableNormal"/>
    <w:uiPriority w:val="71"/>
    <w:rsid w:val="00CB0664"/>
    <w:pPr>
      <w:spacing w:after="0" w:line="240" w:lineRule="auto"/>
    </w:pPr>
    <w:rPr>
      <w:color w:themeColor="text1" w:val="000000"/>
    </w:rPr>
    <w:tblPr>
      <w:tblStyleRowBandSize w:val="1"/>
      <w:tblStyleColBandSize w:val="1"/>
      <w:tblInd w:type="dxa" w:w="0"/>
      <w:tblBorders>
        <w:top w:color="8064A2" w:space="0" w:sz="24" w:themeColor="accent4" w:val="single"/>
        <w:left w:color="9BBB59" w:space="0" w:sz="4" w:themeColor="accent3" w:val="single"/>
        <w:bottom w:color="9BBB59" w:space="0" w:sz="4" w:themeColor="accent3" w:val="single"/>
        <w:right w:color="9BBB59" w:space="0" w:sz="4" w:themeColor="accent3"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5F8EE" w:themeFill="accent3" w:themeFillTint="19" w:val="clear"/>
    </w:tcPr>
    <w:tblStylePr w:type="firstRow">
      <w:rPr>
        <w:b/>
        <w:bCs/>
      </w:rPr>
      <w:tblPr/>
      <w:tcPr>
        <w:tcBorders>
          <w:top w:val="nil"/>
          <w:left w:val="nil"/>
          <w:bottom w:color="8064A2" w:space="0" w:sz="24" w:themeColor="accent4"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5E7530" w:themeFill="accent3" w:themeFillShade="99" w:val="clear"/>
      </w:tcPr>
    </w:tblStylePr>
    <w:tblStylePr w:type="firstCol">
      <w:rPr>
        <w:color w:themeColor="background1" w:val="FFFFFF"/>
      </w:rPr>
      <w:tblPr/>
      <w:tcPr>
        <w:tcBorders>
          <w:top w:val="nil"/>
          <w:left w:val="nil"/>
          <w:bottom w:val="nil"/>
          <w:right w:val="nil"/>
          <w:insideH w:color="5E7530" w:space="0" w:sz="4" w:themeColor="accent3" w:themeShade="99" w:val="single"/>
          <w:insideV w:val="nil"/>
        </w:tcBorders>
        <w:shd w:color="auto" w:fill="5E7530" w:themeFill="accent3" w:themeFillShade="99" w:val="clear"/>
      </w:tcPr>
    </w:tblStylePr>
    <w:tblStylePr w:type="lastCol">
      <w:rPr>
        <w:color w:themeColor="background1" w:val="FFFFFF"/>
      </w:rPr>
      <w:tblPr/>
      <w:tcPr>
        <w:tcBorders>
          <w:top w:val="nil"/>
          <w:left w:val="nil"/>
          <w:bottom w:val="nil"/>
          <w:right w:val="nil"/>
          <w:insideH w:val="nil"/>
          <w:insideV w:val="nil"/>
        </w:tcBorders>
        <w:shd w:color="auto" w:fill="5E7530" w:themeFill="accent3" w:themeFillShade="99" w:val="clear"/>
      </w:tcPr>
    </w:tblStylePr>
    <w:tblStylePr w:type="band1Vert">
      <w:tblPr/>
      <w:tcPr>
        <w:shd w:color="auto" w:fill="D6E3BC" w:themeFill="accent3" w:themeFillTint="66" w:val="clear"/>
      </w:tcPr>
    </w:tblStylePr>
    <w:tblStylePr w:type="band1Horz">
      <w:tblPr/>
      <w:tcPr>
        <w:shd w:color="auto" w:fill="CDDDAC" w:themeFill="accent3" w:themeFillTint="7F" w:val="clear"/>
      </w:tcPr>
    </w:tblStylePr>
  </w:style>
  <w:style w:styleId="ColorfulShading-Accent4" w:type="table">
    <w:name w:val="Colorful Shading Accent 4"/>
    <w:basedOn w:val="TableNormal"/>
    <w:uiPriority w:val="71"/>
    <w:rsid w:val="00CB0664"/>
    <w:pPr>
      <w:spacing w:after="0" w:line="240" w:lineRule="auto"/>
    </w:pPr>
    <w:rPr>
      <w:color w:themeColor="text1" w:val="000000"/>
    </w:rPr>
    <w:tblPr>
      <w:tblStyleRowBandSize w:val="1"/>
      <w:tblStyleColBandSize w:val="1"/>
      <w:tblInd w:type="dxa" w:w="0"/>
      <w:tblBorders>
        <w:top w:color="9BBB59" w:space="0" w:sz="24" w:themeColor="accent3" w:val="single"/>
        <w:left w:color="8064A2" w:space="0" w:sz="4" w:themeColor="accent4" w:val="single"/>
        <w:bottom w:color="8064A2" w:space="0" w:sz="4" w:themeColor="accent4" w:val="single"/>
        <w:right w:color="8064A2" w:space="0" w:sz="4" w:themeColor="accent4"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2EFF6" w:themeFill="accent4" w:themeFillTint="19" w:val="clear"/>
    </w:tcPr>
    <w:tblStylePr w:type="firstRow">
      <w:rPr>
        <w:b/>
        <w:bCs/>
      </w:rPr>
      <w:tblPr/>
      <w:tcPr>
        <w:tcBorders>
          <w:top w:val="nil"/>
          <w:left w:val="nil"/>
          <w:bottom w:color="9BBB59" w:space="0" w:sz="24" w:themeColor="accent3"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4C3B62" w:themeFill="accent4" w:themeFillShade="99" w:val="clear"/>
      </w:tcPr>
    </w:tblStylePr>
    <w:tblStylePr w:type="firstCol">
      <w:rPr>
        <w:color w:themeColor="background1" w:val="FFFFFF"/>
      </w:rPr>
      <w:tblPr/>
      <w:tcPr>
        <w:tcBorders>
          <w:top w:val="nil"/>
          <w:left w:val="nil"/>
          <w:bottom w:val="nil"/>
          <w:right w:val="nil"/>
          <w:insideH w:color="4C3B62" w:space="0" w:sz="4" w:themeColor="accent4" w:themeShade="99" w:val="single"/>
          <w:insideV w:val="nil"/>
        </w:tcBorders>
        <w:shd w:color="auto" w:fill="4C3B62" w:themeFill="accent4" w:themeFillShade="99" w:val="clear"/>
      </w:tcPr>
    </w:tblStylePr>
    <w:tblStylePr w:type="lastCol">
      <w:rPr>
        <w:color w:themeColor="background1" w:val="FFFFFF"/>
      </w:rPr>
      <w:tblPr/>
      <w:tcPr>
        <w:tcBorders>
          <w:top w:val="nil"/>
          <w:left w:val="nil"/>
          <w:bottom w:val="nil"/>
          <w:right w:val="nil"/>
          <w:insideH w:val="nil"/>
          <w:insideV w:val="nil"/>
        </w:tcBorders>
        <w:shd w:color="auto" w:fill="4C3B62" w:themeFill="accent4" w:themeFillShade="99" w:val="clear"/>
      </w:tcPr>
    </w:tblStylePr>
    <w:tblStylePr w:type="band1Vert">
      <w:tblPr/>
      <w:tcPr>
        <w:shd w:color="auto" w:fill="CCC0D9" w:themeFill="accent4" w:themeFillTint="66" w:val="clear"/>
      </w:tcPr>
    </w:tblStylePr>
    <w:tblStylePr w:type="band1Horz">
      <w:tblPr/>
      <w:tcPr>
        <w:shd w:color="auto" w:fill="BFB1D0" w:themeFill="accent4" w:themeFillTint="7F" w:val="clear"/>
      </w:tcPr>
    </w:tblStylePr>
    <w:tblStylePr w:type="neCell">
      <w:rPr>
        <w:color w:themeColor="text1" w:val="000000"/>
      </w:rPr>
    </w:tblStylePr>
    <w:tblStylePr w:type="nwCell">
      <w:rPr>
        <w:color w:themeColor="text1" w:val="000000"/>
      </w:rPr>
    </w:tblStylePr>
  </w:style>
  <w:style w:styleId="ColorfulShading-Accent5" w:type="table">
    <w:name w:val="Colorful Shading Accent 5"/>
    <w:basedOn w:val="TableNormal"/>
    <w:uiPriority w:val="71"/>
    <w:rsid w:val="00CB0664"/>
    <w:pPr>
      <w:spacing w:after="0" w:line="240" w:lineRule="auto"/>
    </w:pPr>
    <w:rPr>
      <w:color w:themeColor="text1" w:val="000000"/>
    </w:rPr>
    <w:tblPr>
      <w:tblStyleRowBandSize w:val="1"/>
      <w:tblStyleColBandSize w:val="1"/>
      <w:tblInd w:type="dxa" w:w="0"/>
      <w:tblBorders>
        <w:top w:color="F79646" w:space="0" w:sz="24" w:themeColor="accent6" w:val="single"/>
        <w:left w:color="4BACC6" w:space="0" w:sz="4" w:themeColor="accent5" w:val="single"/>
        <w:bottom w:color="4BACC6" w:space="0" w:sz="4" w:themeColor="accent5" w:val="single"/>
        <w:right w:color="4BACC6" w:space="0" w:sz="4" w:themeColor="accent5"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EDF6F9" w:themeFill="accent5" w:themeFillTint="19" w:val="clear"/>
    </w:tcPr>
    <w:tblStylePr w:type="firstRow">
      <w:rPr>
        <w:b/>
        <w:bCs/>
      </w:rPr>
      <w:tblPr/>
      <w:tcPr>
        <w:tcBorders>
          <w:top w:val="nil"/>
          <w:left w:val="nil"/>
          <w:bottom w:color="F79646" w:space="0" w:sz="24" w:themeColor="accent6"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276A7C" w:themeFill="accent5" w:themeFillShade="99" w:val="clear"/>
      </w:tcPr>
    </w:tblStylePr>
    <w:tblStylePr w:type="firstCol">
      <w:rPr>
        <w:color w:themeColor="background1" w:val="FFFFFF"/>
      </w:rPr>
      <w:tblPr/>
      <w:tcPr>
        <w:tcBorders>
          <w:top w:val="nil"/>
          <w:left w:val="nil"/>
          <w:bottom w:val="nil"/>
          <w:right w:val="nil"/>
          <w:insideH w:color="276A7C" w:space="0" w:sz="4" w:themeColor="accent5" w:themeShade="99" w:val="single"/>
          <w:insideV w:val="nil"/>
        </w:tcBorders>
        <w:shd w:color="auto" w:fill="276A7C" w:themeFill="accent5" w:themeFillShade="99" w:val="clear"/>
      </w:tcPr>
    </w:tblStylePr>
    <w:tblStylePr w:type="lastCol">
      <w:rPr>
        <w:color w:themeColor="background1" w:val="FFFFFF"/>
      </w:rPr>
      <w:tblPr/>
      <w:tcPr>
        <w:tcBorders>
          <w:top w:val="nil"/>
          <w:left w:val="nil"/>
          <w:bottom w:val="nil"/>
          <w:right w:val="nil"/>
          <w:insideH w:val="nil"/>
          <w:insideV w:val="nil"/>
        </w:tcBorders>
        <w:shd w:color="auto" w:fill="276A7C" w:themeFill="accent5" w:themeFillShade="99" w:val="clear"/>
      </w:tcPr>
    </w:tblStylePr>
    <w:tblStylePr w:type="band1Vert">
      <w:tblPr/>
      <w:tcPr>
        <w:shd w:color="auto" w:fill="B6DDE8" w:themeFill="accent5" w:themeFillTint="66" w:val="clear"/>
      </w:tcPr>
    </w:tblStylePr>
    <w:tblStylePr w:type="band1Horz">
      <w:tblPr/>
      <w:tcPr>
        <w:shd w:color="auto" w:fill="A5D5E2" w:themeFill="accent5" w:themeFillTint="7F" w:val="clear"/>
      </w:tcPr>
    </w:tblStylePr>
    <w:tblStylePr w:type="neCell">
      <w:rPr>
        <w:color w:themeColor="text1" w:val="000000"/>
      </w:rPr>
    </w:tblStylePr>
    <w:tblStylePr w:type="nwCell">
      <w:rPr>
        <w:color w:themeColor="text1" w:val="000000"/>
      </w:rPr>
    </w:tblStylePr>
  </w:style>
  <w:style w:styleId="ColorfulShading-Accent6" w:type="table">
    <w:name w:val="Colorful Shading Accent 6"/>
    <w:basedOn w:val="TableNormal"/>
    <w:uiPriority w:val="71"/>
    <w:rsid w:val="00CB0664"/>
    <w:pPr>
      <w:spacing w:after="0" w:line="240" w:lineRule="auto"/>
    </w:pPr>
    <w:rPr>
      <w:color w:themeColor="text1" w:val="000000"/>
    </w:rPr>
    <w:tblPr>
      <w:tblStyleRowBandSize w:val="1"/>
      <w:tblStyleColBandSize w:val="1"/>
      <w:tblInd w:type="dxa" w:w="0"/>
      <w:tblBorders>
        <w:top w:color="4BACC6" w:space="0" w:sz="24" w:themeColor="accent5" w:val="single"/>
        <w:left w:color="F79646" w:space="0" w:sz="4" w:themeColor="accent6" w:val="single"/>
        <w:bottom w:color="F79646" w:space="0" w:sz="4" w:themeColor="accent6" w:val="single"/>
        <w:right w:color="F79646" w:space="0" w:sz="4" w:themeColor="accent6" w:val="single"/>
        <w:insideH w:color="FFFFFF" w:space="0" w:sz="4" w:themeColor="background1" w:val="single"/>
        <w:insideV w:color="FFFFFF" w:space="0" w:sz="4" w:themeColor="background1" w:val="single"/>
      </w:tblBorders>
      <w:tblCellMar>
        <w:top w:type="dxa" w:w="0"/>
        <w:left w:type="dxa" w:w="108"/>
        <w:bottom w:type="dxa" w:w="0"/>
        <w:right w:type="dxa" w:w="108"/>
      </w:tblCellMar>
    </w:tblPr>
    <w:tcPr>
      <w:shd w:color="auto" w:fill="FEF4EC" w:themeFill="accent6" w:themeFillTint="19" w:val="clear"/>
    </w:tcPr>
    <w:tblStylePr w:type="firstRow">
      <w:rPr>
        <w:b/>
        <w:bCs/>
      </w:rPr>
      <w:tblPr/>
      <w:tcPr>
        <w:tcBorders>
          <w:top w:val="nil"/>
          <w:left w:val="nil"/>
          <w:bottom w:color="4BACC6" w:space="0" w:sz="24" w:themeColor="accent5" w:val="single"/>
          <w:right w:val="nil"/>
          <w:insideH w:val="nil"/>
          <w:insideV w:val="nil"/>
        </w:tcBorders>
        <w:shd w:color="auto" w:fill="FFFFFF" w:themeFill="background1" w:val="clear"/>
      </w:tcPr>
    </w:tblStylePr>
    <w:tblStylePr w:type="lastRow">
      <w:rPr>
        <w:b/>
        <w:bCs/>
        <w:color w:themeColor="background1" w:val="FFFFFF"/>
      </w:rPr>
      <w:tblPr/>
      <w:tcPr>
        <w:tcBorders>
          <w:top w:color="FFFFFF" w:space="0" w:sz="6" w:themeColor="background1" w:val="single"/>
        </w:tcBorders>
        <w:shd w:color="auto" w:fill="B65608" w:themeFill="accent6" w:themeFillShade="99" w:val="clear"/>
      </w:tcPr>
    </w:tblStylePr>
    <w:tblStylePr w:type="firstCol">
      <w:rPr>
        <w:color w:themeColor="background1" w:val="FFFFFF"/>
      </w:rPr>
      <w:tblPr/>
      <w:tcPr>
        <w:tcBorders>
          <w:top w:val="nil"/>
          <w:left w:val="nil"/>
          <w:bottom w:val="nil"/>
          <w:right w:val="nil"/>
          <w:insideH w:color="B65608" w:space="0" w:sz="4" w:themeColor="accent6" w:themeShade="99" w:val="single"/>
          <w:insideV w:val="nil"/>
        </w:tcBorders>
        <w:shd w:color="auto" w:fill="B65608" w:themeFill="accent6" w:themeFillShade="99" w:val="clear"/>
      </w:tcPr>
    </w:tblStylePr>
    <w:tblStylePr w:type="lastCol">
      <w:rPr>
        <w:color w:themeColor="background1" w:val="FFFFFF"/>
      </w:rPr>
      <w:tblPr/>
      <w:tcPr>
        <w:tcBorders>
          <w:top w:val="nil"/>
          <w:left w:val="nil"/>
          <w:bottom w:val="nil"/>
          <w:right w:val="nil"/>
          <w:insideH w:val="nil"/>
          <w:insideV w:val="nil"/>
        </w:tcBorders>
        <w:shd w:color="auto" w:fill="B65608" w:themeFill="accent6" w:themeFillShade="99" w:val="clear"/>
      </w:tcPr>
    </w:tblStylePr>
    <w:tblStylePr w:type="band1Vert">
      <w:tblPr/>
      <w:tcPr>
        <w:shd w:color="auto" w:fill="FBD4B4" w:themeFill="accent6" w:themeFillTint="66" w:val="clear"/>
      </w:tcPr>
    </w:tblStylePr>
    <w:tblStylePr w:type="band1Horz">
      <w:tblPr/>
      <w:tcPr>
        <w:shd w:color="auto" w:fill="FBCAA2" w:themeFill="accent6" w:themeFillTint="7F" w:val="clear"/>
      </w:tcPr>
    </w:tblStylePr>
    <w:tblStylePr w:type="neCell">
      <w:rPr>
        <w:color w:themeColor="text1" w:val="000000"/>
      </w:rPr>
    </w:tblStylePr>
    <w:tblStylePr w:type="nwCell">
      <w:rPr>
        <w:color w:themeColor="text1" w:val="000000"/>
      </w:rPr>
    </w:tblStylePr>
  </w:style>
  <w:style w:styleId="ColorfulList" w:type="table">
    <w:name w:val="Colorful List"/>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6E6E6" w:themeFill="tex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C0C0C0" w:themeFill="text1" w:themeFillTint="3F" w:val="clear"/>
      </w:tcPr>
    </w:tblStylePr>
    <w:tblStylePr w:type="band1Horz">
      <w:tblPr/>
      <w:tcPr>
        <w:shd w:color="auto" w:fill="CCCCCC" w:themeFill="text1" w:themeFillTint="33" w:val="clear"/>
      </w:tcPr>
    </w:tblStylePr>
  </w:style>
  <w:style w:styleId="ColorfulList-Accent1" w:type="table">
    <w:name w:val="Colorful List Accent 1"/>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2F8" w:themeFill="accent1"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3DFEE" w:themeFill="accent1" w:themeFillTint="3F" w:val="clear"/>
      </w:tcPr>
    </w:tblStylePr>
    <w:tblStylePr w:type="band1Horz">
      <w:tblPr/>
      <w:tcPr>
        <w:shd w:color="auto" w:fill="DBE5F1" w:themeFill="accent1" w:themeFillTint="33" w:val="clear"/>
      </w:tcPr>
    </w:tblStylePr>
  </w:style>
  <w:style w:styleId="ColorfulList-Accent2" w:type="table">
    <w:name w:val="Colorful List Accent 2"/>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8EDED" w:themeFill="accent2" w:themeFillTint="19" w:val="clear"/>
    </w:tcPr>
    <w:tblStylePr w:type="firstRow">
      <w:rPr>
        <w:b/>
        <w:bCs/>
        <w:color w:themeColor="background1" w:val="FFFFFF"/>
      </w:rPr>
      <w:tblPr/>
      <w:tcPr>
        <w:tcBorders>
          <w:bottom w:color="FFFFFF" w:space="0" w:sz="12" w:themeColor="background1" w:val="single"/>
        </w:tcBorders>
        <w:shd w:color="auto" w:fill="9E3A38" w:themeFill="accent2" w:themeFillShade="CC" w:val="clear"/>
      </w:tcPr>
    </w:tblStylePr>
    <w:tblStylePr w:type="lastRow">
      <w:rPr>
        <w:b/>
        <w:bCs/>
        <w:color w:themeColor="accent2" w:themeShade="CC" w:val="9E3A38"/>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FD3D2" w:themeFill="accent2" w:themeFillTint="3F" w:val="clear"/>
      </w:tcPr>
    </w:tblStylePr>
    <w:tblStylePr w:type="band1Horz">
      <w:tblPr/>
      <w:tcPr>
        <w:shd w:color="auto" w:fill="F2DBDB" w:themeFill="accent2" w:themeFillTint="33" w:val="clear"/>
      </w:tcPr>
    </w:tblStylePr>
  </w:style>
  <w:style w:styleId="ColorfulList-Accent3" w:type="table">
    <w:name w:val="Colorful List Accent 3"/>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5F8EE" w:themeFill="accent3" w:themeFillTint="19" w:val="clear"/>
    </w:tcPr>
    <w:tblStylePr w:type="firstRow">
      <w:rPr>
        <w:b/>
        <w:bCs/>
        <w:color w:themeColor="background1" w:val="FFFFFF"/>
      </w:rPr>
      <w:tblPr/>
      <w:tcPr>
        <w:tcBorders>
          <w:bottom w:color="FFFFFF" w:space="0" w:sz="12" w:themeColor="background1" w:val="single"/>
        </w:tcBorders>
        <w:shd w:color="auto" w:fill="664E82" w:themeFill="accent4" w:themeFillShade="CC" w:val="clear"/>
      </w:tcPr>
    </w:tblStylePr>
    <w:tblStylePr w:type="lastRow">
      <w:rPr>
        <w:b/>
        <w:bCs/>
        <w:color w:themeColor="accent4" w:themeShade="CC" w:val="664E82"/>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E6EED5" w:themeFill="accent3" w:themeFillTint="3F" w:val="clear"/>
      </w:tcPr>
    </w:tblStylePr>
    <w:tblStylePr w:type="band1Horz">
      <w:tblPr/>
      <w:tcPr>
        <w:shd w:color="auto" w:fill="EAF1DD" w:themeFill="accent3" w:themeFillTint="33" w:val="clear"/>
      </w:tcPr>
    </w:tblStylePr>
  </w:style>
  <w:style w:styleId="ColorfulList-Accent4" w:type="table">
    <w:name w:val="Colorful List Accent 4"/>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2EFF6" w:themeFill="accent4" w:themeFillTint="19" w:val="clear"/>
    </w:tcPr>
    <w:tblStylePr w:type="firstRow">
      <w:rPr>
        <w:b/>
        <w:bCs/>
        <w:color w:themeColor="background1" w:val="FFFFFF"/>
      </w:rPr>
      <w:tblPr/>
      <w:tcPr>
        <w:tcBorders>
          <w:bottom w:color="FFFFFF" w:space="0" w:sz="12" w:themeColor="background1" w:val="single"/>
        </w:tcBorders>
        <w:shd w:color="auto" w:fill="7E9C40" w:themeFill="accent3" w:themeFillShade="CC" w:val="clear"/>
      </w:tcPr>
    </w:tblStylePr>
    <w:tblStylePr w:type="lastRow">
      <w:rPr>
        <w:b/>
        <w:bCs/>
        <w:color w:themeColor="accent3" w:themeShade="CC" w:val="7E9C40"/>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FD8E8" w:themeFill="accent4" w:themeFillTint="3F" w:val="clear"/>
      </w:tcPr>
    </w:tblStylePr>
    <w:tblStylePr w:type="band1Horz">
      <w:tblPr/>
      <w:tcPr>
        <w:shd w:color="auto" w:fill="E5DFEC" w:themeFill="accent4" w:themeFillTint="33" w:val="clear"/>
      </w:tcPr>
    </w:tblStylePr>
  </w:style>
  <w:style w:styleId="ColorfulList-Accent5" w:type="table">
    <w:name w:val="Colorful List Accent 5"/>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EDF6F9" w:themeFill="accent5" w:themeFillTint="19" w:val="clear"/>
    </w:tcPr>
    <w:tblStylePr w:type="firstRow">
      <w:rPr>
        <w:b/>
        <w:bCs/>
        <w:color w:themeColor="background1" w:val="FFFFFF"/>
      </w:rPr>
      <w:tblPr/>
      <w:tcPr>
        <w:tcBorders>
          <w:bottom w:color="FFFFFF" w:space="0" w:sz="12" w:themeColor="background1" w:val="single"/>
        </w:tcBorders>
        <w:shd w:color="auto" w:fill="F2730A" w:themeFill="accent6" w:themeFillShade="CC" w:val="clear"/>
      </w:tcPr>
    </w:tblStylePr>
    <w:tblStylePr w:type="lastRow">
      <w:rPr>
        <w:b/>
        <w:bCs/>
        <w:color w:themeColor="accent6" w:themeShade="CC" w:val="F2730A"/>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D2EAF1" w:themeFill="accent5" w:themeFillTint="3F" w:val="clear"/>
      </w:tcPr>
    </w:tblStylePr>
    <w:tblStylePr w:type="band1Horz">
      <w:tblPr/>
      <w:tcPr>
        <w:shd w:color="auto" w:fill="DAEEF3" w:themeFill="accent5" w:themeFillTint="33" w:val="clear"/>
      </w:tcPr>
    </w:tblStylePr>
  </w:style>
  <w:style w:styleId="ColorfulList-Accent6" w:type="table">
    <w:name w:val="Colorful List Accent 6"/>
    <w:basedOn w:val="TableNormal"/>
    <w:uiPriority w:val="72"/>
    <w:rsid w:val="00CB0664"/>
    <w:pPr>
      <w:spacing w:after="0" w:line="240" w:lineRule="auto"/>
    </w:pPr>
    <w:rPr>
      <w:color w:themeColor="text1" w:val="000000"/>
    </w:rPr>
    <w:tblPr>
      <w:tblStyleRowBandSize w:val="1"/>
      <w:tblStyleColBandSize w:val="1"/>
      <w:tblInd w:type="dxa" w:w="0"/>
      <w:tblCellMar>
        <w:top w:type="dxa" w:w="0"/>
        <w:left w:type="dxa" w:w="108"/>
        <w:bottom w:type="dxa" w:w="0"/>
        <w:right w:type="dxa" w:w="108"/>
      </w:tblCellMar>
    </w:tblPr>
    <w:tcPr>
      <w:shd w:color="auto" w:fill="FEF4EC" w:themeFill="accent6" w:themeFillTint="19" w:val="clear"/>
    </w:tcPr>
    <w:tblStylePr w:type="firstRow">
      <w:rPr>
        <w:b/>
        <w:bCs/>
        <w:color w:themeColor="background1" w:val="FFFFFF"/>
      </w:rPr>
      <w:tblPr/>
      <w:tcPr>
        <w:tcBorders>
          <w:bottom w:color="FFFFFF" w:space="0" w:sz="12" w:themeColor="background1" w:val="single"/>
        </w:tcBorders>
        <w:shd w:color="auto" w:fill="348DA5" w:themeFill="accent5" w:themeFillShade="CC" w:val="clear"/>
      </w:tcPr>
    </w:tblStylePr>
    <w:tblStylePr w:type="lastRow">
      <w:rPr>
        <w:b/>
        <w:bCs/>
        <w:color w:themeColor="accent5" w:themeShade="CC" w:val="348DA5"/>
      </w:rPr>
      <w:tblPr/>
      <w:tcPr>
        <w:tcBorders>
          <w:top w:color="000000" w:space="0" w:sz="12" w:themeColor="text1" w:val="single"/>
        </w:tcBorders>
        <w:shd w:color="auto" w:fill="FFFFFF" w:themeFill="background1" w:val="clear"/>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color="auto" w:fill="FDE4D0" w:themeFill="accent6" w:themeFillTint="3F" w:val="clear"/>
      </w:tcPr>
    </w:tblStylePr>
    <w:tblStylePr w:type="band1Horz">
      <w:tblPr/>
      <w:tcPr>
        <w:shd w:color="auto" w:fill="FDE9D9" w:themeFill="accent6" w:themeFillTint="33" w:val="clear"/>
      </w:tcPr>
    </w:tblStylePr>
  </w:style>
  <w:style w:styleId="ColorfulGrid" w:type="table">
    <w:name w:val="Colorful Grid"/>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CCCCCC" w:themeFill="text1" w:themeFillTint="33" w:val="clear"/>
    </w:tcPr>
    <w:tblStylePr w:type="firstRow">
      <w:rPr>
        <w:b/>
        <w:bCs/>
      </w:rPr>
      <w:tblPr/>
      <w:tcPr>
        <w:shd w:color="auto" w:fill="999999" w:themeFill="text1" w:themeFillTint="66" w:val="clear"/>
      </w:tcPr>
    </w:tblStylePr>
    <w:tblStylePr w:type="lastRow">
      <w:rPr>
        <w:b/>
        <w:bCs/>
        <w:color w:themeColor="text1" w:val="000000"/>
      </w:rPr>
      <w:tblPr/>
      <w:tcPr>
        <w:shd w:color="auto" w:fill="999999" w:themeFill="text1" w:themeFillTint="66" w:val="clear"/>
      </w:tcPr>
    </w:tblStylePr>
    <w:tblStylePr w:type="firstCol">
      <w:rPr>
        <w:color w:themeColor="background1" w:val="FFFFFF"/>
      </w:rPr>
      <w:tblPr/>
      <w:tcPr>
        <w:shd w:color="auto" w:fill="000000" w:themeFill="text1" w:themeFillShade="BF" w:val="clear"/>
      </w:tcPr>
    </w:tblStylePr>
    <w:tblStylePr w:type="lastCol">
      <w:rPr>
        <w:color w:themeColor="background1" w:val="FFFFFF"/>
      </w:rPr>
      <w:tblPr/>
      <w:tcPr>
        <w:shd w:color="auto" w:fill="000000" w:themeFill="text1" w:themeFillShade="BF" w:val="clear"/>
      </w:tcPr>
    </w:tblStylePr>
    <w:tblStylePr w:type="band1Vert">
      <w:tblPr/>
      <w:tcPr>
        <w:shd w:color="auto" w:fill="808080" w:themeFill="text1" w:themeFillTint="7F" w:val="clear"/>
      </w:tcPr>
    </w:tblStylePr>
    <w:tblStylePr w:type="band1Horz">
      <w:tblPr/>
      <w:tcPr>
        <w:shd w:color="auto" w:fill="808080" w:themeFill="text1" w:themeFillTint="7F" w:val="clear"/>
      </w:tcPr>
    </w:tblStylePr>
  </w:style>
  <w:style w:styleId="ColorfulGrid-Accent1" w:type="table">
    <w:name w:val="Colorful Grid Accent 1"/>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BE5F1" w:themeFill="accent1" w:themeFillTint="33" w:val="clear"/>
    </w:tcPr>
    <w:tblStylePr w:type="firstRow">
      <w:rPr>
        <w:b/>
        <w:bCs/>
      </w:rPr>
      <w:tblPr/>
      <w:tcPr>
        <w:shd w:color="auto" w:fill="B8CCE4" w:themeFill="accent1" w:themeFillTint="66" w:val="clear"/>
      </w:tcPr>
    </w:tblStylePr>
    <w:tblStylePr w:type="lastRow">
      <w:rPr>
        <w:b/>
        <w:bCs/>
        <w:color w:themeColor="text1" w:val="000000"/>
      </w:rPr>
      <w:tblPr/>
      <w:tcPr>
        <w:shd w:color="auto" w:fill="B8CCE4" w:themeFill="accent1" w:themeFillTint="66" w:val="clear"/>
      </w:tcPr>
    </w:tblStylePr>
    <w:tblStylePr w:type="firstCol">
      <w:rPr>
        <w:color w:themeColor="background1" w:val="FFFFFF"/>
      </w:rPr>
      <w:tblPr/>
      <w:tcPr>
        <w:shd w:color="auto" w:fill="365F91" w:themeFill="accent1" w:themeFillShade="BF" w:val="clear"/>
      </w:tcPr>
    </w:tblStylePr>
    <w:tblStylePr w:type="lastCol">
      <w:rPr>
        <w:color w:themeColor="background1" w:val="FFFFFF"/>
      </w:rPr>
      <w:tblPr/>
      <w:tcPr>
        <w:shd w:color="auto" w:fill="365F91" w:themeFill="accent1" w:themeFillShade="BF" w:val="clear"/>
      </w:tcPr>
    </w:tblStylePr>
    <w:tblStylePr w:type="band1Vert">
      <w:tblPr/>
      <w:tcPr>
        <w:shd w:color="auto" w:fill="A7BFDE" w:themeFill="accent1" w:themeFillTint="7F" w:val="clear"/>
      </w:tcPr>
    </w:tblStylePr>
    <w:tblStylePr w:type="band1Horz">
      <w:tblPr/>
      <w:tcPr>
        <w:shd w:color="auto" w:fill="A7BFDE" w:themeFill="accent1" w:themeFillTint="7F" w:val="clear"/>
      </w:tcPr>
    </w:tblStylePr>
  </w:style>
  <w:style w:styleId="ColorfulGrid-Accent2" w:type="table">
    <w:name w:val="Colorful Grid Accent 2"/>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2DBDB" w:themeFill="accent2" w:themeFillTint="33" w:val="clear"/>
    </w:tcPr>
    <w:tblStylePr w:type="firstRow">
      <w:rPr>
        <w:b/>
        <w:bCs/>
      </w:rPr>
      <w:tblPr/>
      <w:tcPr>
        <w:shd w:color="auto" w:fill="E5B8B7" w:themeFill="accent2" w:themeFillTint="66" w:val="clear"/>
      </w:tcPr>
    </w:tblStylePr>
    <w:tblStylePr w:type="lastRow">
      <w:rPr>
        <w:b/>
        <w:bCs/>
        <w:color w:themeColor="text1" w:val="000000"/>
      </w:rPr>
      <w:tblPr/>
      <w:tcPr>
        <w:shd w:color="auto" w:fill="E5B8B7" w:themeFill="accent2" w:themeFillTint="66" w:val="clear"/>
      </w:tcPr>
    </w:tblStylePr>
    <w:tblStylePr w:type="firstCol">
      <w:rPr>
        <w:color w:themeColor="background1" w:val="FFFFFF"/>
      </w:rPr>
      <w:tblPr/>
      <w:tcPr>
        <w:shd w:color="auto" w:fill="943634" w:themeFill="accent2" w:themeFillShade="BF" w:val="clear"/>
      </w:tcPr>
    </w:tblStylePr>
    <w:tblStylePr w:type="lastCol">
      <w:rPr>
        <w:color w:themeColor="background1" w:val="FFFFFF"/>
      </w:rPr>
      <w:tblPr/>
      <w:tcPr>
        <w:shd w:color="auto" w:fill="943634" w:themeFill="accent2" w:themeFillShade="BF" w:val="clear"/>
      </w:tcPr>
    </w:tblStylePr>
    <w:tblStylePr w:type="band1Vert">
      <w:tblPr/>
      <w:tcPr>
        <w:shd w:color="auto" w:fill="DFA7A6" w:themeFill="accent2" w:themeFillTint="7F" w:val="clear"/>
      </w:tcPr>
    </w:tblStylePr>
    <w:tblStylePr w:type="band1Horz">
      <w:tblPr/>
      <w:tcPr>
        <w:shd w:color="auto" w:fill="DFA7A6" w:themeFill="accent2" w:themeFillTint="7F" w:val="clear"/>
      </w:tcPr>
    </w:tblStylePr>
  </w:style>
  <w:style w:styleId="ColorfulGrid-Accent3" w:type="table">
    <w:name w:val="Colorful Grid Accent 3"/>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AF1DD" w:themeFill="accent3" w:themeFillTint="33" w:val="clear"/>
    </w:tcPr>
    <w:tblStylePr w:type="firstRow">
      <w:rPr>
        <w:b/>
        <w:bCs/>
      </w:rPr>
      <w:tblPr/>
      <w:tcPr>
        <w:shd w:color="auto" w:fill="D6E3BC" w:themeFill="accent3" w:themeFillTint="66" w:val="clear"/>
      </w:tcPr>
    </w:tblStylePr>
    <w:tblStylePr w:type="lastRow">
      <w:rPr>
        <w:b/>
        <w:bCs/>
        <w:color w:themeColor="text1" w:val="000000"/>
      </w:rPr>
      <w:tblPr/>
      <w:tcPr>
        <w:shd w:color="auto" w:fill="D6E3BC" w:themeFill="accent3" w:themeFillTint="66" w:val="clear"/>
      </w:tcPr>
    </w:tblStylePr>
    <w:tblStylePr w:type="firstCol">
      <w:rPr>
        <w:color w:themeColor="background1" w:val="FFFFFF"/>
      </w:rPr>
      <w:tblPr/>
      <w:tcPr>
        <w:shd w:color="auto" w:fill="76923C" w:themeFill="accent3" w:themeFillShade="BF" w:val="clear"/>
      </w:tcPr>
    </w:tblStylePr>
    <w:tblStylePr w:type="lastCol">
      <w:rPr>
        <w:color w:themeColor="background1" w:val="FFFFFF"/>
      </w:rPr>
      <w:tblPr/>
      <w:tcPr>
        <w:shd w:color="auto" w:fill="76923C" w:themeFill="accent3" w:themeFillShade="BF" w:val="clear"/>
      </w:tcPr>
    </w:tblStylePr>
    <w:tblStylePr w:type="band1Vert">
      <w:tblPr/>
      <w:tcPr>
        <w:shd w:color="auto" w:fill="CDDDAC" w:themeFill="accent3" w:themeFillTint="7F" w:val="clear"/>
      </w:tcPr>
    </w:tblStylePr>
    <w:tblStylePr w:type="band1Horz">
      <w:tblPr/>
      <w:tcPr>
        <w:shd w:color="auto" w:fill="CDDDAC" w:themeFill="accent3" w:themeFillTint="7F" w:val="clear"/>
      </w:tcPr>
    </w:tblStylePr>
  </w:style>
  <w:style w:styleId="ColorfulGrid-Accent4" w:type="table">
    <w:name w:val="Colorful Grid Accent 4"/>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E5DFEC" w:themeFill="accent4" w:themeFillTint="33" w:val="clear"/>
    </w:tcPr>
    <w:tblStylePr w:type="firstRow">
      <w:rPr>
        <w:b/>
        <w:bCs/>
      </w:rPr>
      <w:tblPr/>
      <w:tcPr>
        <w:shd w:color="auto" w:fill="CCC0D9" w:themeFill="accent4" w:themeFillTint="66" w:val="clear"/>
      </w:tcPr>
    </w:tblStylePr>
    <w:tblStylePr w:type="lastRow">
      <w:rPr>
        <w:b/>
        <w:bCs/>
        <w:color w:themeColor="text1" w:val="000000"/>
      </w:rPr>
      <w:tblPr/>
      <w:tcPr>
        <w:shd w:color="auto" w:fill="CCC0D9" w:themeFill="accent4" w:themeFillTint="66" w:val="clear"/>
      </w:tcPr>
    </w:tblStylePr>
    <w:tblStylePr w:type="firstCol">
      <w:rPr>
        <w:color w:themeColor="background1" w:val="FFFFFF"/>
      </w:rPr>
      <w:tblPr/>
      <w:tcPr>
        <w:shd w:color="auto" w:fill="5F497A" w:themeFill="accent4" w:themeFillShade="BF" w:val="clear"/>
      </w:tcPr>
    </w:tblStylePr>
    <w:tblStylePr w:type="lastCol">
      <w:rPr>
        <w:color w:themeColor="background1" w:val="FFFFFF"/>
      </w:rPr>
      <w:tblPr/>
      <w:tcPr>
        <w:shd w:color="auto" w:fill="5F497A" w:themeFill="accent4" w:themeFillShade="BF" w:val="clear"/>
      </w:tcPr>
    </w:tblStylePr>
    <w:tblStylePr w:type="band1Vert">
      <w:tblPr/>
      <w:tcPr>
        <w:shd w:color="auto" w:fill="BFB1D0" w:themeFill="accent4" w:themeFillTint="7F" w:val="clear"/>
      </w:tcPr>
    </w:tblStylePr>
    <w:tblStylePr w:type="band1Horz">
      <w:tblPr/>
      <w:tcPr>
        <w:shd w:color="auto" w:fill="BFB1D0" w:themeFill="accent4" w:themeFillTint="7F" w:val="clear"/>
      </w:tcPr>
    </w:tblStylePr>
  </w:style>
  <w:style w:styleId="ColorfulGrid-Accent5" w:type="table">
    <w:name w:val="Colorful Grid Accent 5"/>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DAEEF3" w:themeFill="accent5" w:themeFillTint="33" w:val="clear"/>
    </w:tcPr>
    <w:tblStylePr w:type="firstRow">
      <w:rPr>
        <w:b/>
        <w:bCs/>
      </w:rPr>
      <w:tblPr/>
      <w:tcPr>
        <w:shd w:color="auto" w:fill="B6DDE8" w:themeFill="accent5" w:themeFillTint="66" w:val="clear"/>
      </w:tcPr>
    </w:tblStylePr>
    <w:tblStylePr w:type="lastRow">
      <w:rPr>
        <w:b/>
        <w:bCs/>
        <w:color w:themeColor="text1" w:val="000000"/>
      </w:rPr>
      <w:tblPr/>
      <w:tcPr>
        <w:shd w:color="auto" w:fill="B6DDE8" w:themeFill="accent5" w:themeFillTint="66" w:val="clear"/>
      </w:tcPr>
    </w:tblStylePr>
    <w:tblStylePr w:type="firstCol">
      <w:rPr>
        <w:color w:themeColor="background1" w:val="FFFFFF"/>
      </w:rPr>
      <w:tblPr/>
      <w:tcPr>
        <w:shd w:color="auto" w:fill="31849B" w:themeFill="accent5" w:themeFillShade="BF" w:val="clear"/>
      </w:tcPr>
    </w:tblStylePr>
    <w:tblStylePr w:type="lastCol">
      <w:rPr>
        <w:color w:themeColor="background1" w:val="FFFFFF"/>
      </w:rPr>
      <w:tblPr/>
      <w:tcPr>
        <w:shd w:color="auto" w:fill="31849B" w:themeFill="accent5" w:themeFillShade="BF" w:val="clear"/>
      </w:tcPr>
    </w:tblStylePr>
    <w:tblStylePr w:type="band1Vert">
      <w:tblPr/>
      <w:tcPr>
        <w:shd w:color="auto" w:fill="A5D5E2" w:themeFill="accent5" w:themeFillTint="7F" w:val="clear"/>
      </w:tcPr>
    </w:tblStylePr>
    <w:tblStylePr w:type="band1Horz">
      <w:tblPr/>
      <w:tcPr>
        <w:shd w:color="auto" w:fill="A5D5E2" w:themeFill="accent5" w:themeFillTint="7F" w:val="clear"/>
      </w:tcPr>
    </w:tblStylePr>
  </w:style>
  <w:style w:styleId="ColorfulGrid-Accent6" w:type="table">
    <w:name w:val="Colorful Grid Accent 6"/>
    <w:basedOn w:val="TableNormal"/>
    <w:uiPriority w:val="73"/>
    <w:rsid w:val="00CB0664"/>
    <w:pPr>
      <w:spacing w:after="0" w:line="240" w:lineRule="auto"/>
    </w:pPr>
    <w:rPr>
      <w:color w:themeColor="text1" w:val="000000"/>
    </w:rPr>
    <w:tblPr>
      <w:tblStyleRowBandSize w:val="1"/>
      <w:tblStyleColBandSize w:val="1"/>
      <w:tblInd w:type="dxa" w:w="0"/>
      <w:tblBorders>
        <w:insideH w:color="FFFFFF" w:space="0" w:sz="4" w:themeColor="background1" w:val="single"/>
      </w:tblBorders>
      <w:tblCellMar>
        <w:top w:type="dxa" w:w="0"/>
        <w:left w:type="dxa" w:w="108"/>
        <w:bottom w:type="dxa" w:w="0"/>
        <w:right w:type="dxa" w:w="108"/>
      </w:tblCellMar>
    </w:tblPr>
    <w:tcPr>
      <w:shd w:color="auto" w:fill="FDE9D9" w:themeFill="accent6" w:themeFillTint="33" w:val="clear"/>
    </w:tcPr>
    <w:tblStylePr w:type="firstRow">
      <w:rPr>
        <w:b/>
        <w:bCs/>
      </w:rPr>
      <w:tblPr/>
      <w:tcPr>
        <w:shd w:color="auto" w:fill="FBD4B4" w:themeFill="accent6" w:themeFillTint="66" w:val="clear"/>
      </w:tcPr>
    </w:tblStylePr>
    <w:tblStylePr w:type="lastRow">
      <w:rPr>
        <w:b/>
        <w:bCs/>
        <w:color w:themeColor="text1" w:val="000000"/>
      </w:rPr>
      <w:tblPr/>
      <w:tcPr>
        <w:shd w:color="auto" w:fill="FBD4B4" w:themeFill="accent6" w:themeFillTint="66" w:val="clear"/>
      </w:tcPr>
    </w:tblStylePr>
    <w:tblStylePr w:type="firstCol">
      <w:rPr>
        <w:color w:themeColor="background1" w:val="FFFFFF"/>
      </w:rPr>
      <w:tblPr/>
      <w:tcPr>
        <w:shd w:color="auto" w:fill="E36C0A" w:themeFill="accent6" w:themeFillShade="BF" w:val="clear"/>
      </w:tcPr>
    </w:tblStylePr>
    <w:tblStylePr w:type="lastCol">
      <w:rPr>
        <w:color w:themeColor="background1" w:val="FFFFFF"/>
      </w:rPr>
      <w:tblPr/>
      <w:tcPr>
        <w:shd w:color="auto" w:fill="E36C0A" w:themeFill="accent6" w:themeFillShade="BF" w:val="clear"/>
      </w:tcPr>
    </w:tblStylePr>
    <w:tblStylePr w:type="band1Vert">
      <w:tblPr/>
      <w:tcPr>
        <w:shd w:color="auto" w:fill="FBCAA2" w:themeFill="accent6" w:themeFillTint="7F" w:val="clear"/>
      </w:tcPr>
    </w:tblStylePr>
    <w:tblStylePr w:type="band1Horz">
      <w:tblPr/>
      <w:tcPr>
        <w:shd w:color="auto" w:fill="FBCAA2" w:themeFill="accent6" w:themeFillTint="7F" w:val="clear"/>
      </w:tcPr>
    </w:tblStylePr>
  </w:style>
  <w:style w:customStyle="1" w:styleId="FirstParagraph" w:type="paragraph">
    <w:name w:val="First Paragraph"/>
    <w:basedOn w:val="BodyText"/>
    <w:pPr>
      <w:keepNext w:val="0"/>
      <w:spacing w:after="0" w:before="0" w:line="360" w:lineRule="auto"/>
      <w:jc w:val="both"/>
    </w:pPr>
    <w:rPr>
      <w:rFonts w:ascii="Times New Roman" w:hAnsi="Times New Roman"/>
      <w:b w:val="0"/>
      <w:i w:val="0"/>
      <w:sz w:val="22"/>
    </w:rPr>
  </w:style>
  <w:style w:customStyle="1" w:styleId="Compact" w:type="paragraph">
    <w:name w:val="Compact"/>
    <w:basedOn w:val="BodyText"/>
    <w:pPr>
      <w:keepNext w:val="0"/>
      <w:spacing w:after="40" w:before="0" w:line="252" w:lineRule="auto"/>
      <w:ind w:left="317" w:hanging="259"/>
      <w:jc w:val="both"/>
    </w:pPr>
    <w:rPr>
      <w:rFonts w:ascii="Times New Roman" w:hAnsi="Times New Roman"/>
      <w:b w:val="0"/>
      <w:i w:val="0"/>
      <w:sz w:val="22"/>
    </w:rPr>
  </w:style>
  <w:style w:customStyle="1" w:styleId="AbstractLabel" w:type="paragraph">
    <w:name w:val="Abstract Label"/>
    <w:basedOn w:val="BodyText"/>
    <w:pPr>
      <w:keepNext/>
      <w:spacing w:after="80" w:before="80"/>
      <w:jc w:val="center"/>
    </w:pPr>
    <w:rPr>
      <w:rFonts w:ascii="Times New Roman" w:hAnsi="Times New Roman"/>
      <w:b/>
      <w:i w:val="0"/>
      <w:sz w:val="22"/>
    </w:rPr>
  </w:style>
  <w:style w:customStyle="1" w:styleId="Keywords" w:type="paragraph">
    <w:name w:val="Keywords"/>
    <w:basedOn w:val="BodyText"/>
    <w:pPr>
      <w:keepNext w:val="0"/>
      <w:spacing w:after="80" w:before="0"/>
      <w:jc w:val="both"/>
    </w:pPr>
    <w:rPr>
      <w:rFonts w:ascii="Times New Roman" w:hAnsi="Times New Roman"/>
      <w:b w:val="0"/>
      <w:i w:val="0"/>
      <w:sz w:val="22"/>
    </w:rPr>
  </w:style>
  <w:style w:customStyle="1" w:styleId="ImageCaption" w:type="paragraph">
    <w:name w:val="Image Caption"/>
    <w:basedOn w:val="BodyText"/>
    <w:pPr>
      <w:keepNext w:val="0"/>
      <w:spacing w:after="120" w:before="80" w:line="240" w:lineRule="auto"/>
      <w:jc w:val="center"/>
    </w:pPr>
    <w:rPr>
      <w:rFonts w:ascii="Times New Roman" w:hAnsi="Times New Roman"/>
      <w:b w:val="0"/>
      <w:i/>
      <w:sz w:val="20"/>
    </w:rPr>
  </w:style>
  <w:style w:customStyle="1" w:styleId="TableCaption" w:type="paragraph">
    <w:name w:val="Table Caption"/>
    <w:basedOn w:val="BodyText"/>
    <w:pPr>
      <w:keepNext/>
      <w:spacing w:after="60" w:before="160" w:line="240" w:lineRule="auto"/>
      <w:jc w:val="center"/>
    </w:pPr>
    <w:rPr>
      <w:rFonts w:ascii="Times New Roman" w:hAnsi="Times New Roman"/>
      <w:b w:val="0"/>
      <w:i/>
      <w:sz w:val="20"/>
    </w:rPr>
  </w:style>
  <w:style w:customStyle="1" w:styleId="ReferencesHeading" w:type="paragraph">
    <w:name w:val="References Heading"/>
    <w:basedOn w:val="Heading1"/>
    <w:pPr>
      <w:keepNext/>
      <w:spacing w:after="120" w:before="240"/>
    </w:pPr>
    <w:rPr>
      <w:rFonts w:ascii="Times New Roman" w:hAnsi="Times New Roman"/>
      <w:b/>
      <w:i w:val="0"/>
      <w:sz w:val="28"/>
    </w:rPr>
  </w:style>
  <w:style w:customStyle="1" w:styleId="ReferenceEntry" w:type="paragraph">
    <w:name w:val="Reference Entry"/>
    <w:basedOn w:val="BodyText"/>
    <w:pPr>
      <w:keepNext w:val="0"/>
      <w:spacing w:after="40" w:before="0" w:line="240" w:lineRule="auto"/>
      <w:ind w:left="0" w:firstLine="0"/>
      <w:jc w:val="both"/>
    </w:pPr>
    <w:rPr>
      <w:rFonts w:ascii="Times New Roman" w:hAnsi="Times New Roman"/>
      <w:b w:val="0"/>
      <w:i w:val="0"/>
      <w:sz w:val="20"/>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7" Type="http://schemas.openxmlformats.org/officeDocument/2006/relationships/styles" Target="styles.xml"/><Relationship Id="rId6" Type="http://schemas.openxmlformats.org/officeDocument/2006/relationships/settings" Target="settings.xml"/><Relationship Id="rId5" Type="http://schemas.openxmlformats.org/officeDocument/2006/relationships/webSettings" Target="webSettings.xml"/><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footnotes" Target="footnotes.xml"/><Relationship Id="rId1" Type="http://schemas.openxmlformats.org/officeDocument/2006/relationships/comments" Target="comments.xml"/><Relationship Id="rId95" Type="http://schemas.openxmlformats.org/officeDocument/2006/relationships/image" Target="media/rId95.png"/><Relationship Id="rId92" Type="http://schemas.openxmlformats.org/officeDocument/2006/relationships/image" Target="media/rId92.png"/><Relationship Id="rId15" Type="http://schemas.openxmlformats.org/officeDocument/2006/relationships/image" Target="media/rId15.png"/><Relationship Id="rId41" Type="http://schemas.openxmlformats.org/officeDocument/2006/relationships/image" Target="media/rId41.png"/><Relationship Id="rId46" Type="http://schemas.openxmlformats.org/officeDocument/2006/relationships/image" Target="media/rId46.png"/><Relationship Id="rId51" Type="http://schemas.openxmlformats.org/officeDocument/2006/relationships/image" Target="media/rId51.png"/><Relationship Id="rId56" Type="http://schemas.openxmlformats.org/officeDocument/2006/relationships/image" Target="media/rId56.png"/><Relationship Id="rId77" Type="http://schemas.openxmlformats.org/officeDocument/2006/relationships/image" Target="media/rId77.png"/><Relationship Id="rId82" Type="http://schemas.openxmlformats.org/officeDocument/2006/relationships/image" Target="media/rId82.png"/><Relationship Id="rId62" Type="http://schemas.openxmlformats.org/officeDocument/2006/relationships/image" Target="media/rId62.png"/><Relationship Id="rId67" Type="http://schemas.openxmlformats.org/officeDocument/2006/relationships/image" Target="media/rId67.png"/><Relationship Id="rId72" Type="http://schemas.openxmlformats.org/officeDocument/2006/relationships/image" Target="media/rId72.png"/><Relationship Id="rId87" Type="http://schemas.openxmlformats.org/officeDocument/2006/relationships/image" Target="media/rId87.png"/><Relationship Id="rId105" Type="http://schemas.openxmlformats.org/officeDocument/2006/relationships/image" Target="media/rId105.png"/><Relationship Id="rId118" Type="http://schemas.openxmlformats.org/officeDocument/2006/relationships/image" Target="media/rId118.png"/><Relationship Id="rId109" Type="http://schemas.openxmlformats.org/officeDocument/2006/relationships/image" Target="media/rId109.png"/><Relationship Id="rId28" Type="http://schemas.openxmlformats.org/officeDocument/2006/relationships/image" Target="media/rId28.png"/><Relationship Id="rId31" Type="http://schemas.openxmlformats.org/officeDocument/2006/relationships/image" Target="media/rId31.png"/><Relationship Id="rId34" Type="http://schemas.openxmlformats.org/officeDocument/2006/relationships/image" Target="media/rId34.png"/><Relationship Id="rId131" Type="http://schemas.openxmlformats.org/officeDocument/2006/relationships/image" Target="media/rId131.png"/><Relationship Id="rId101" Type="http://schemas.openxmlformats.org/officeDocument/2006/relationships/image" Target="media/rId101.png"/><Relationship Id="rId126" Type="http://schemas.openxmlformats.org/officeDocument/2006/relationships/image" Target="media/rId126.png"/><Relationship Id="rId122" Type="http://schemas.openxmlformats.org/officeDocument/2006/relationships/image" Target="media/rId122.png"/><Relationship Id="rId12" Type="http://schemas.openxmlformats.org/officeDocument/2006/relationships/image" Target="media/rId12.png"/><Relationship Id="rId201" Type="http://schemas.openxmlformats.org/officeDocument/2006/relationships/hyperlink" Target="https://cameochemicals.noaa.gov" TargetMode="External"/><Relationship Id="rId10" Type="http://schemas.openxmlformats.org/officeDocument/2006/relationships/hyperlink" Target="https://doi.org/10.5281/zenodo.19821953" TargetMode="External"/><Relationship Id="rId152" Type="http://schemas.openxmlformats.org/officeDocument/2006/relationships/hyperlink" Target="https://www.daylight.com/dayhtml/doc/theory/theory.smarts.html" TargetMode="External"/><Relationship Id="rId175" Type="http://schemas.openxmlformats.org/officeDocument/2006/relationships/hyperlink" Target="https://www.rdkit.org" TargetMode="External"/><Relationship Id="rId138" Type="http://schemas.openxmlformats.org/officeDocument/2006/relationships/hyperlink" Target="https://zenodo.org/deposit/19821953" TargetMode="Externa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01" Type="http://schemas.openxmlformats.org/officeDocument/2006/relationships/hyperlink" Target="https://cameochemicals.noaa.gov" TargetMode="External"/><Relationship Id="rId10" Type="http://schemas.openxmlformats.org/officeDocument/2006/relationships/hyperlink" Target="https://doi.org/10.5281/zenodo.19821953" TargetMode="External"/><Relationship Id="rId152" Type="http://schemas.openxmlformats.org/officeDocument/2006/relationships/hyperlink" Target="https://www.daylight.com/dayhtml/doc/theory/theory.smarts.html" TargetMode="External"/><Relationship Id="rId175" Type="http://schemas.openxmlformats.org/officeDocument/2006/relationships/hyperlink" Target="https://www.rdkit.org" TargetMode="External"/><Relationship Id="rId138" Type="http://schemas.openxmlformats.org/officeDocument/2006/relationships/hyperlink" Target="https://zenodo.org/deposit/19821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2026-05-10T07:42:24Z</dcterms:created>
  <dcterms:modified xsi:type="dcterms:W3CDTF">2026-05-10T07:42:24Z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vt:lpwstr>
  </property>
</Properties>
</file>