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be7d7b4e1e555f338c228eaf6b9f4212b750b1b"/>
    <w:p>
      <w:pPr>
        <w:pStyle w:val="Title"/>
        <w:spacing w:before="0" w:after="160"/>
        <w:jc w:val="center"/>
        <w:keepNext/>
        <w:keepLines/>
        <w:widowControl w:val="1"/>
      </w:pPr>
      <w:r>
        <w:t xml:space="preserve">Extended Data Table 1 — Six-anchor DFT calibration</w:t>
      </w:r>
    </w:p>
    <w:p>
      <w:pPr>
        <w:pStyle w:val="Subtitle"/>
        <w:spacing w:before="0" w:after="40"/>
        <w:jc w:val="center"/>
        <w:keepNext/>
        <w:keepLines/>
        <w:widowControl w:val="1"/>
      </w:pPr>
      <w:r>
        <w:rPr>
          <w:b/>
          <w:bCs/>
        </w:rPr>
        <w:t xml:space="preserve">Extended Data Table 1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Six-anchor DFT calibration.</w:t>
      </w:r>
      <w:r>
        <w:t xml:space="preserve"> </w:t>
      </w:r>
      <w:r>
        <w:t xml:space="preserve">Anchor compounds and their chemotype families; experimental crystal density</w:t>
      </w:r>
      <w:r>
        <w:t xml:space="preserve"> </w:t>
      </w:r>
      <m:oMath>
        <m:sSub>
          <m:e>
            <m:r>
              <m:t>ρ</m:t>
            </m:r>
          </m:e>
          <m:sub>
            <m:r>
              <m:rPr>
                <m:nor/>
                <m:sty m:val="p"/>
              </m:rPr>
              <m:t>exp</m:t>
            </m:r>
          </m:sub>
        </m:sSub>
      </m:oMath>
      <w:r>
        <w:t xml:space="preserve"> </w:t>
      </w:r>
      <w:r>
        <w:t xml:space="preserve">and condensed-phase heat of formation</w:t>
      </w:r>
      <w:r>
        <w:t xml:space="preserve"> </w:t>
      </w:r>
      <m:oMath>
        <m:r>
          <m:rPr>
            <m:sty m:val="p"/>
          </m:rPr>
          <m:t>Δ</m:t>
        </m:r>
        <m:sSubSup>
          <m:e>
            <m:r>
              <m:t>H</m:t>
            </m:r>
          </m:e>
          <m:sub>
            <m:r>
              <m:t>f</m:t>
            </m:r>
          </m:sub>
          <m:sup>
            <m:r>
              <m:rPr>
                <m:nor/>
                <m:sty m:val="p"/>
              </m:rPr>
              <m:t>exp</m:t>
            </m:r>
          </m:sup>
        </m:sSubSup>
      </m:oMath>
      <w:r>
        <w:t xml:space="preserve">;</w:t>
      </w:r>
      <w:r>
        <w:t xml:space="preserve"> </w:t>
      </w:r>
      <w:r>
        <w:t xml:space="preserve">raw</w:t>
      </w:r>
      <w:r>
        <w:t xml:space="preserve"> </w:t>
      </w:r>
      <m:oMath>
        <m:r>
          <m:t>ω</m:t>
        </m:r>
      </m:oMath>
      <w:r>
        <w:t xml:space="preserve">B97X-D3BJ/def2-TZVP outputs</w:t>
      </w:r>
      <w:r>
        <w:t xml:space="preserve"> </w:t>
      </w:r>
      <m:oMath>
        <m:sSub>
          <m:e>
            <m:r>
              <m:t>ρ</m:t>
            </m:r>
          </m:e>
          <m:sub>
            <m:r>
              <m:rPr>
                <m:nor/>
                <m:sty m:val="p"/>
              </m:rPr>
              <m:t>DFT</m:t>
            </m:r>
          </m:sub>
        </m:sSub>
      </m:oMath>
      <w:r>
        <w:t xml:space="preserve"> </w:t>
      </w:r>
      <w:r>
        <w:t xml:space="preserve">(Bondi-vdW + 0.69 packing)</w:t>
      </w:r>
      <w:r>
        <w:t xml:space="preserve"> </w:t>
      </w:r>
      <w:r>
        <w:t xml:space="preserve">and</w:t>
      </w:r>
      <w:r>
        <w:t xml:space="preserve"> </w:t>
      </w:r>
      <m:oMath>
        <m:r>
          <m:rPr>
            <m:sty m:val="p"/>
          </m:rPr>
          <m:t>Δ</m:t>
        </m:r>
        <m:sSubSup>
          <m:e>
            <m:r>
              <m:t>H</m:t>
            </m:r>
          </m:e>
          <m:sub>
            <m:r>
              <m:t>f</m:t>
            </m:r>
          </m:sub>
          <m:sup>
            <m:r>
              <m:rPr>
                <m:nor/>
                <m:sty m:val="p"/>
              </m:rPr>
              <m:t>DFT</m:t>
            </m:r>
          </m:sup>
        </m:sSubSup>
      </m:oMath>
      <w:r>
        <w:t xml:space="preserve"> </w:t>
      </w:r>
      <w:r>
        <w:t xml:space="preserve">(atomisation-energy method, 0 K); calibrated values</w:t>
      </w:r>
      <w:r>
        <w:t xml:space="preserve"> </w:t>
      </w:r>
      <w:r>
        <w:t xml:space="preserve">under the linear correction</w:t>
      </w:r>
      <w:r>
        <w:t xml:space="preserve"> </w:t>
      </w:r>
      <m:oMath>
        <m:sSub>
          <m:e>
            <m:r>
              <m:t>ρ</m:t>
            </m:r>
          </m:e>
          <m:sub>
            <m:r>
              <m:rPr>
                <m:nor/>
                <m:sty m:val="p"/>
              </m:rPr>
              <m:t>cal</m:t>
            </m:r>
          </m:sub>
        </m:sSub>
        <m:r>
          <m:rPr>
            <m:sty m:val="p"/>
          </m:rPr>
          <m:t>=</m:t>
        </m:r>
        <m:r>
          <m:t>1.392</m:t>
        </m:r>
        <m:r>
          <m:t> </m:t>
        </m:r>
        <m:sSub>
          <m:e>
            <m:r>
              <m:t>ρ</m:t>
            </m:r>
          </m:e>
          <m:sub>
            <m:r>
              <m:rPr>
                <m:nor/>
                <m:sty m:val="p"/>
              </m:rPr>
              <m:t>DFT</m:t>
            </m:r>
          </m:sub>
        </m:sSub>
        <m:r>
          <m:rPr>
            <m:sty m:val="p"/>
          </m:rPr>
          <m:t>−</m:t>
        </m:r>
        <m:r>
          <m:t>0.415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rPr>
            <m:sty m:val="p"/>
          </m:rPr>
          <m:t>Δ</m:t>
        </m:r>
        <m:sSubSup>
          <m:e>
            <m:r>
              <m:t>H</m:t>
            </m:r>
          </m:e>
          <m:sub>
            <m:r>
              <m:t>f</m:t>
            </m:r>
          </m:sub>
          <m:sup>
            <m:r>
              <m:rPr>
                <m:nor/>
                <m:sty m:val="p"/>
              </m:rPr>
              <m:t>cal</m:t>
            </m:r>
          </m:sup>
        </m:sSubSup>
        <m:r>
          <m:rPr>
            <m:sty m:val="p"/>
          </m:rPr>
          <m:t>=</m:t>
        </m:r>
        <m:r>
          <m:rPr>
            <m:sty m:val="p"/>
          </m:rPr>
          <m:t>Δ</m:t>
        </m:r>
        <m:sSubSup>
          <m:e>
            <m:r>
              <m:t>H</m:t>
            </m:r>
          </m:e>
          <m:sub>
            <m:r>
              <m:t>f</m:t>
            </m:r>
          </m:sub>
          <m:sup>
            <m:r>
              <m:rPr>
                <m:nor/>
                <m:sty m:val="p"/>
              </m:rPr>
              <m:t>DFT</m:t>
            </m:r>
          </m:sup>
        </m:sSubSup>
        <m:r>
          <m:rPr>
            <m:sty m:val="p"/>
          </m:rPr>
          <m:t>−</m:t>
        </m:r>
        <m:r>
          <m:t>206.7</m:t>
        </m:r>
      </m:oMath>
      <w:r>
        <w:t xml:space="preserve"> </w:t>
      </w:r>
      <w:r>
        <w:t xml:space="preserve">kJ/mol. Joint-fit RMS over all</w:t>
      </w:r>
      <w:r>
        <w:t xml:space="preserve"> </w:t>
      </w:r>
      <w:r>
        <w:t xml:space="preserve">six anchors is 0.050 g/cm</w:t>
      </w:r>
      <w:r>
        <w:rPr>
          <w:vertAlign w:val="superscript"/>
        </w:rPr>
        <w:t xml:space="preserve">3</w:t>
      </w:r>
      <w:r>
        <w:t xml:space="preserve"> </w:t>
      </w:r>
      <w:r>
        <w:t xml:space="preserve">on</w:t>
      </w:r>
      <w:r>
        <w:t xml:space="preserve"> </w:t>
      </w:r>
      <m:oMath>
        <m:r>
          <m:t>ρ</m:t>
        </m:r>
      </m:oMath>
      <w:r>
        <w:t xml:space="preserve"> </w:t>
      </w:r>
      <w:r>
        <w:t xml:space="preserve">and 53.8 kJ/mol on</w:t>
      </w:r>
      <w:r>
        <w:t xml:space="preserve"> </w:t>
      </w:r>
      <m:oMath>
        <m:r>
          <m:rPr>
            <m:sty m:val="p"/>
          </m:rPr>
          <m:t>Δ</m:t>
        </m:r>
        <m:sSub>
          <m:e>
            <m:r>
              <m:t>H</m:t>
            </m:r>
          </m:e>
          <m:sub>
            <m:r>
              <m:t>f</m:t>
            </m:r>
          </m:sub>
        </m:sSub>
      </m:oMath>
      <w:r>
        <w:t xml:space="preserve">;</w:t>
      </w:r>
      <w:r>
        <w:t xml:space="preserve"> </w:t>
      </w:r>
      <w:r>
        <w:t xml:space="preserve">leave-one-out RMS is 0.078 g/cm</w:t>
      </w:r>
      <w:r>
        <w:rPr>
          <w:vertAlign w:val="superscript"/>
        </w:rPr>
        <w:t xml:space="preserve">3</w:t>
      </w:r>
      <w:r>
        <w:t xml:space="preserve"> </w:t>
      </w:r>
      <w:r>
        <w:t xml:space="preserve">and 64.6 kJ/mol respectively. Per-anchor</w:t>
      </w:r>
      <w:r>
        <w:t xml:space="preserve"> </w:t>
      </w:r>
      <w:r>
        <w:t xml:space="preserve">LOO residuals and the DNTF 7th-anchor exclusion are in Supplementary Note 3.4 and</w:t>
      </w:r>
      <w:r>
        <w:t xml:space="preserve"> </w:t>
      </w:r>
      <w:r>
        <w:t xml:space="preserve">3.11.</w:t>
      </w:r>
    </w:p>
    <w:tbl>
      <w:tblPr>
        <w:tblStyle w:val="Table"/>
        <w:tblW w:type="pct" w:w="5000"/>
        <w:jc w:val="center"/>
        <w:tblLayout w:type="autofit"/>
        <w:tblLook w:firstRow="1" w:lastRow="0" w:firstColumn="0" w:lastColumn="0" w:noHBand="0" w:noVBand="0" w:val="0020"/>
        <w:tblCaption w:val="Extended Data Table 1 | Six-anchor DFT calibration. Anchor compounds and their chemotype families; experimental crystal density \rho_\text{exp} and condensed-phase heat of formation \Delta H_f^\text{exp}; raw \omegaB97X-D3BJ/def2-TZVP outputs \rho_\text{DFT} (Bondi-vdW + 0.69 packing) and \Delta H_f^\text{DFT} (atomisation-energy method, 0 K); calibrated values under the linear correction \rho_\text{cal} = 1.392\,\rho_\text{DFT} - 0.415 and \Delta H_f^\text{cal} = \Delta H_f^\text{DFT} - 206.7 kJ/mol. Joint-fit RMS over all six anchors is 0.050 g/cm3 on \rho and 53.8 kJ/mol on \Delta H_f; leave-one-out RMS is 0.078 g/cm3 and 64.6 kJ/mol respectively. Per-anchor LOO residuals and the DNTF 7th-anchor exclusion are in Supplementary Note 3.4 and 3.11."/>
        <w:tblBorders>
          <w:top w:val="single" w:sz="10" w:color="4F6272"/>
          <w:bottom w:val="single" w:sz="10" w:color="4F6272"/>
          <w:insideH w:val="single" w:sz="5" w:color="9FB0C2"/>
          <w:left w:val="single" w:sz="6" w:color="9FB0C2"/>
          <w:right w:val="single" w:sz="6" w:color="9FB0C2"/>
          <w:insideV w:val="single" w:sz="5" w:color="D9E1E8"/>
        </w:tblBorders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sz w:val="19"/>
              </w:rPr>
              <w:t xml:space="preserve">Anchor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sz w:val="19"/>
              </w:rPr>
              <w:t xml:space="preserve">Chemotype family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m:oMath>
              <m:sSub>
                <m:e>
                  <m:r>
                    <m:t>ρ</m:t>
                  </m:r>
                </m:e>
                <m:sub>
                  <m:r>
                    <m:rPr>
                      <m:nor/>
                      <m:sty m:val="p"/>
                    </m:rPr>
                    <m:t>exp</m:t>
                  </m:r>
                </m:sub>
              </m:sSub>
            </m:oMath>
            <w:r>
              <w:rPr>
                <w:rFonts w:ascii="Times New Roman" w:hAnsi="Times New Roman"/>
                <w:b/>
                <w:sz w:val="19"/>
              </w:rPr>
              <w:br/>
            </w:r>
            <w:r>
              <w:rPr>
                <w:rFonts w:ascii="Times New Roman" w:hAnsi="Times New Roman"/>
                <w:b/>
                <w:sz w:val="19"/>
              </w:rPr>
              <w:t xml:space="preserve">(g/cm</w:t>
            </w:r>
            <w:r>
              <w:rPr>
                <w:rFonts w:ascii="Times New Roman" w:hAnsi="Times New Roman"/>
                <w:b/>
                <w:sz w:val="19"/>
                <w:vertAlign w:val="superscript"/>
              </w:rPr>
              <w:t xml:space="preserve">3</w:t>
            </w:r>
            <w:r>
              <w:rPr>
                <w:rFonts w:ascii="Times New Roman" w:hAnsi="Times New Roman"/>
                <w:b/>
                <w:sz w:val="19"/>
              </w:rPr>
              <w:t xml:space="preserve">)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m:oMath>
              <m:sSub>
                <m:e>
                  <m:r>
                    <m:t>ρ</m:t>
                  </m:r>
                </m:e>
                <m:sub>
                  <m:r>
                    <m:rPr>
                      <m:nor/>
                      <m:sty m:val="p"/>
                    </m:rPr>
                    <m:t>DFT</m:t>
                  </m:r>
                </m:sub>
              </m:sSub>
            </m:oMath>
            <w:r>
              <w:rPr>
                <w:rFonts w:ascii="Times New Roman" w:hAnsi="Times New Roman"/>
                <w:b/>
                <w:sz w:val="19"/>
              </w:rPr>
              <w:br/>
            </w:r>
            <w:r>
              <w:rPr>
                <w:rFonts w:ascii="Times New Roman" w:hAnsi="Times New Roman"/>
                <w:b/>
                <w:sz w:val="19"/>
              </w:rPr>
              <w:t xml:space="preserve">(g/cm</w:t>
            </w:r>
            <w:r>
              <w:rPr>
                <w:rFonts w:ascii="Times New Roman" w:hAnsi="Times New Roman"/>
                <w:b/>
                <w:sz w:val="19"/>
                <w:vertAlign w:val="superscript"/>
              </w:rPr>
              <w:t xml:space="preserve">3</w:t>
            </w:r>
            <w:r>
              <w:rPr>
                <w:rFonts w:ascii="Times New Roman" w:hAnsi="Times New Roman"/>
                <w:b/>
                <w:sz w:val="19"/>
              </w:rPr>
              <w:t xml:space="preserve">)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m:oMath>
              <m:sSub>
                <m:e>
                  <m:r>
                    <m:t>ρ</m:t>
                  </m:r>
                </m:e>
                <m:sub>
                  <m:r>
                    <m:rPr>
                      <m:nor/>
                      <m:sty m:val="p"/>
                    </m:rPr>
                    <m:t>cal</m:t>
                  </m:r>
                </m:sub>
              </m:sSub>
            </m:oMath>
            <w:r>
              <w:rPr>
                <w:rFonts w:ascii="Times New Roman" w:hAnsi="Times New Roman"/>
                <w:b/>
                <w:sz w:val="19"/>
              </w:rPr>
              <w:br/>
            </w:r>
            <w:r>
              <w:rPr>
                <w:rFonts w:ascii="Times New Roman" w:hAnsi="Times New Roman"/>
                <w:b/>
                <w:sz w:val="19"/>
              </w:rPr>
              <w:t xml:space="preserve">(g/cm</w:t>
            </w:r>
            <w:r>
              <w:rPr>
                <w:rFonts w:ascii="Times New Roman" w:hAnsi="Times New Roman"/>
                <w:b/>
                <w:sz w:val="19"/>
                <w:vertAlign w:val="superscript"/>
              </w:rPr>
              <w:t xml:space="preserve">3</w:t>
            </w:r>
            <w:r>
              <w:rPr>
                <w:rFonts w:ascii="Times New Roman" w:hAnsi="Times New Roman"/>
                <w:b/>
                <w:sz w:val="19"/>
              </w:rPr>
              <w:t xml:space="preserve">)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m:oMath>
              <m:r>
                <m:rPr>
                  <m:sty m:val="p"/>
                </m:rPr>
                <m:t>Δ</m:t>
              </m:r>
              <m:sSubSup>
                <m:e>
                  <m:r>
                    <m:t>H</m:t>
                  </m:r>
                </m:e>
                <m:sub>
                  <m:r>
                    <m:t>f</m:t>
                  </m:r>
                </m:sub>
                <m:sup>
                  <m:r>
                    <m:rPr>
                      <m:nor/>
                      <m:sty m:val="p"/>
                    </m:rPr>
                    <m:t>exp</m:t>
                  </m:r>
                </m:sup>
              </m:sSubSup>
            </m:oMath>
            <w:r>
              <w:rPr>
                <w:rFonts w:ascii="Times New Roman" w:hAnsi="Times New Roman"/>
                <w:b/>
                <w:sz w:val="19"/>
              </w:rPr>
              <w:br/>
            </w:r>
            <w:r>
              <w:rPr>
                <w:rFonts w:ascii="Times New Roman" w:hAnsi="Times New Roman"/>
                <w:b/>
                <w:sz w:val="19"/>
              </w:rPr>
              <w:t xml:space="preserve">(kJ/mol)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m:oMath>
              <m:r>
                <m:rPr>
                  <m:sty m:val="p"/>
                </m:rPr>
                <m:t>Δ</m:t>
              </m:r>
              <m:sSubSup>
                <m:e>
                  <m:r>
                    <m:t>H</m:t>
                  </m:r>
                </m:e>
                <m:sub>
                  <m:r>
                    <m:t>f</m:t>
                  </m:r>
                </m:sub>
                <m:sup>
                  <m:r>
                    <m:rPr>
                      <m:nor/>
                      <m:sty m:val="p"/>
                    </m:rPr>
                    <m:t>DFT</m:t>
                  </m:r>
                </m:sup>
              </m:sSubSup>
            </m:oMath>
            <w:r>
              <w:rPr>
                <w:rFonts w:ascii="Times New Roman" w:hAnsi="Times New Roman"/>
                <w:b/>
                <w:sz w:val="19"/>
              </w:rPr>
              <w:br/>
            </w:r>
            <w:r>
              <w:rPr>
                <w:rFonts w:ascii="Times New Roman" w:hAnsi="Times New Roman"/>
                <w:b/>
                <w:sz w:val="19"/>
              </w:rPr>
              <w:t xml:space="preserve">(kJ/mol)</w:t>
            </w:r>
          </w:p>
        </w:tc>
        <w:tc>
          <w:tcPr>
            <w:shd w:fill="EEF3F7"/>
            <w:tcBorders>
              <w:left w:val="single" w:sz="4" w:color="D9E1E8"/>
              <w:right w:val="single" w:sz="4" w:color="D9E1E8"/>
              <w:top w:val="single" w:sz="4" w:color="D9E1E8"/>
              <w:bottom w:val="single" w:sz="8" w:color="9FB0C2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m:oMath>
              <m:r>
                <m:rPr>
                  <m:sty m:val="p"/>
                </m:rPr>
                <m:t>Δ</m:t>
              </m:r>
              <m:sSubSup>
                <m:e>
                  <m:r>
                    <m:t>H</m:t>
                  </m:r>
                </m:e>
                <m:sub>
                  <m:r>
                    <m:t>f</m:t>
                  </m:r>
                </m:sub>
                <m:sup>
                  <m:r>
                    <m:rPr>
                      <m:nor/>
                      <m:sty m:val="p"/>
                    </m:rPr>
                    <m:t>cal</m:t>
                  </m:r>
                </m:sup>
              </m:sSubSup>
            </m:oMath>
            <w:r>
              <w:rPr>
                <w:rFonts w:ascii="Times New Roman" w:hAnsi="Times New Roman"/>
                <w:b/>
                <w:sz w:val="19"/>
              </w:rPr>
              <w:br/>
            </w:r>
            <w:r>
              <w:rPr>
                <w:rFonts w:ascii="Times New Roman" w:hAnsi="Times New Roman"/>
                <w:b/>
                <w:sz w:val="19"/>
              </w:rPr>
              <w:t xml:space="preserve">(kJ/mol)</w:t>
            </w:r>
          </w:p>
        </w:tc>
      </w:tr>
      <w:tr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RDX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ring nitramine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1.82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1.632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1.857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+70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+240.4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+33.8</w:t>
            </w:r>
          </w:p>
        </w:tc>
      </w:tr>
      <w:tr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HMX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ring nitramine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1.91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1.689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1.936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+75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+377.9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+171.2</w:t>
            </w:r>
          </w:p>
        </w:tc>
      </w:tr>
      <w:tr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TATB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aromatic amino-nitro (insensitive)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1.94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1.663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1.900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−141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+82.9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−123.7</w:t>
            </w:r>
          </w:p>
        </w:tc>
      </w:tr>
      <w:tr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PETN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nitrate ester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1.77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1.626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1.849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−538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−307.2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−513.8</w:t>
            </w:r>
          </w:p>
        </w:tc>
      </w:tr>
      <w:tr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FOX-7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push–pull nitroamine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1.89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1.613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1.830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−134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+41.6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single" w:sz="4" w:color="D9E1E8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−165.0</w:t>
            </w:r>
          </w:p>
        </w:tc>
      </w:tr>
      <w:tr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NTO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nitrotriazolone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1.93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1.654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1.888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−129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+7.2</w:t>
            </w:r>
          </w:p>
        </w:tc>
        <w:tc>
          <w:tcPr>
            <w:tcBorders>
              <w:left w:val="single" w:sz="4" w:color="D9E1E8"/>
              <w:right w:val="single" w:sz="4" w:color="D9E1E8"/>
              <w:top w:val="single" w:sz="4" w:color="D9E1E8"/>
              <w:bottom w:val="nil"/>
            </w:tcBorders>
          </w:tcPr>
          <w:p>
            <w:pPr>
              <w:pStyle w:val="Compact"/>
              <w:spacing w:before="0" w:after="20" w:line="240" w:lineRule="auto"/>
              <w:jc w:val="center"/>
              <w:keepNext w:val="0"/>
              <w:keepLines/>
              <w:widowControl w:val="1"/>
            </w:pPr>
            <w:r>
              <w:rPr>
                <w:rFonts w:ascii="Times New Roman" w:hAnsi="Times New Roman"/>
                <w:sz w:val="20"/>
              </w:rPr>
              <w:t xml:space="preserve">−199.5</w:t>
            </w:r>
          </w:p>
        </w:tc>
      </w:tr>
    </w:tbl>
    <w:bookmarkEnd w:id="9"/>
    <w:sectPr w:rsidR="00FC693F" w:rsidRPr="0006063C" w:rsidSect="00034616">
      <w:footerReference w:type="default" r:id="rId9"/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spacing w:before="0" w:after="0"/>
      <w:jc w:val="center"/>
    </w:pPr>
    <w:r>
      <w:rPr>
        <w:rFonts w:ascii="Times New Roman" w:hAnsi="Times New Roman"/>
        <w:sz w:val="20"/>
      </w:rPr>
      <w:fldChar w:fldCharType="begin"/>
      <w:instrText xml:space="preserve">PAGE</w:instrText>
      <w:fldChar w:fldCharType="separate"/>
      <w:t>1</w:t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pos="1080" w:val="num"/>
        </w:tabs>
        <w:ind w:hanging="360" w:left="108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pos="1080" w:val="num"/>
        </w:tabs>
        <w:ind w:hanging="360" w:left="108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val="bestFit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AutoCompressPictures/>
  <w:shapeDefaults>
    <o:shapedefaults spidmax="1027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93F"/>
    <w:pPr>
      <w:keepNext w:val="0"/>
      <w:spacing w:after="0" w:before="0" w:line="276" w:lineRule="auto"/>
    </w:pPr>
    <w:rPr>
      <w:rFonts w:ascii="Times New Roman" w:hAnsi="Times New Roman"/>
      <w:b w:val="0"/>
      <w:i w:val="0"/>
      <w:sz w:val="22"/>
    </w:rPr>
  </w:style>
  <w:style w:styleId="Header" w:type="paragraph">
    <w:name w:val="header"/>
    <w:basedOn w:val="Normal"/>
    <w:link w:val="HeaderChar"/>
    <w:uiPriority w:val="99"/>
    <w:unhideWhenUsed/>
    <w:rsid w:val="00E618BF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E618BF"/>
  </w:style>
  <w:style w:styleId="Footer" w:type="paragraph">
    <w:name w:val="footer"/>
    <w:basedOn w:val="Normal"/>
    <w:link w:val="FooterChar"/>
    <w:uiPriority w:val="99"/>
    <w:unhideWhenUsed/>
    <w:rsid w:val="00E618BF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E618BF"/>
  </w:style>
  <w:style w:styleId="Heading1" w:type="paragraph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after="120" w:before="240"/>
      <w:outlineLvl w:val="0"/>
    </w:pPr>
    <w:rPr>
      <w:rFonts w:ascii="Times New Roman" w:asciiTheme="majorHAnsi" w:cstheme="majorBidi" w:eastAsiaTheme="majorEastAsia" w:hAnsi="Times New Roman" w:hAnsiTheme="majorHAnsi"/>
      <w:b/>
      <w:bCs/>
      <w:i w:val="0"/>
      <w:color w:themeColor="accent1" w:themeShade="BF" w:val="365F91"/>
      <w:sz w:val="28"/>
      <w:szCs w:val="28"/>
    </w:rPr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after="80" w:before="200"/>
      <w:outlineLvl w:val="1"/>
    </w:pPr>
    <w:rPr>
      <w:rFonts w:ascii="Times New Roman" w:asciiTheme="majorHAnsi" w:cstheme="majorBidi" w:eastAsiaTheme="majorEastAsia" w:hAnsi="Times New Roman" w:hAnsiTheme="majorHAnsi"/>
      <w:b/>
      <w:bCs/>
      <w:i w:val="0"/>
      <w:color w:themeColor="accent1" w:val="4F81BD"/>
      <w:sz w:val="24"/>
      <w:szCs w:val="26"/>
    </w:rPr>
  </w:style>
  <w:style w:styleId="Heading3" w:type="paragraph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after="80" w:before="160"/>
      <w:outlineLvl w:val="2"/>
    </w:pPr>
    <w:rPr>
      <w:rFonts w:ascii="Times New Roman" w:asciiTheme="majorHAnsi" w:cstheme="majorBidi" w:eastAsiaTheme="majorEastAsia" w:hAnsi="Times New Roman" w:hAnsiTheme="majorHAnsi"/>
      <w:b/>
      <w:bCs/>
      <w:i w:val="0"/>
      <w:color w:themeColor="accent1" w:val="4F81BD"/>
      <w:sz w:val="22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NoSpacing" w:type="paragraph">
    <w:name w:val="No Spacing"/>
    <w:uiPriority w:val="1"/>
    <w:qFormat/>
    <w:rsid w:val="00FC693F"/>
    <w:pPr>
      <w:spacing w:after="0" w:line="240" w:lineRule="auto"/>
    </w:pPr>
  </w:style>
  <w:style w:customStyle="1" w:styleId="Heading1Char" w:type="character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Heading2Char" w:type="character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Heading3Char" w:type="character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</w:rPr>
  </w:style>
  <w:style w:styleId="Title" w:type="paragraph">
    <w:name w:val="Title"/>
    <w:basedOn w:val="Normal"/>
    <w:next w:val="Normal"/>
    <w:link w:val="TitleChar"/>
    <w:uiPriority w:val="10"/>
    <w:qFormat/>
    <w:rsid w:val="00FC693F"/>
    <w:pPr>
      <w:keepNext w:val="0"/>
      <w:pBdr>
        <w:bottom w:color="4F81BD" w:space="4" w:sz="8" w:themeColor="accent1" w:val="single"/>
      </w:pBdr>
      <w:spacing w:after="160" w:before="0" w:line="240" w:lineRule="auto"/>
      <w:contextualSpacing/>
      <w:jc w:val="center"/>
    </w:pPr>
    <w:rPr>
      <w:rFonts w:ascii="Times New Roman" w:asciiTheme="majorHAnsi" w:cstheme="majorBidi" w:eastAsiaTheme="majorEastAsia" w:hAnsi="Times New Roman" w:hAnsiTheme="majorHAnsi"/>
      <w:b/>
      <w:i w:val="0"/>
      <w:color w:themeColor="text2" w:themeShade="BF" w:val="17365D"/>
      <w:spacing w:val="5"/>
      <w:kern w:val="28"/>
      <w:sz w:val="36"/>
      <w:szCs w:val="52"/>
    </w:rPr>
  </w:style>
  <w:style w:customStyle="1" w:styleId="TitleChar" w:type="character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Subtitle" w:type="paragraph">
    <w:name w:val="Subtitle"/>
    <w:basedOn w:val="Normal"/>
    <w:next w:val="Normal"/>
    <w:link w:val="SubtitleChar"/>
    <w:uiPriority w:val="11"/>
    <w:qFormat/>
    <w:rsid w:val="00FC693F"/>
    <w:pPr>
      <w:keepNext w:val="0"/>
      <w:numPr>
        <w:ilvl w:val="1"/>
      </w:numPr>
      <w:spacing w:after="80" w:before="0"/>
      <w:jc w:val="center"/>
    </w:pPr>
    <w:rPr>
      <w:rFonts w:ascii="Times New Roman" w:asciiTheme="majorHAnsi" w:cstheme="majorBidi" w:eastAsiaTheme="majorEastAsia" w:hAnsi="Times New Roman" w:hAnsiTheme="majorHAnsi"/>
      <w:b w:val="0"/>
      <w:i w:val="0"/>
      <w:iCs/>
      <w:color w:themeColor="accent1" w:val="4F81BD"/>
      <w:spacing w:val="15"/>
      <w:sz w:val="24"/>
      <w:szCs w:val="24"/>
    </w:rPr>
  </w:style>
  <w:style w:customStyle="1" w:styleId="SubtitleChar" w:type="character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ListParagraph" w:type="paragraph">
    <w:name w:val="List Paragraph"/>
    <w:basedOn w:val="Normal"/>
    <w:uiPriority w:val="34"/>
    <w:qFormat/>
    <w:rsid w:val="00FC693F"/>
    <w:pPr>
      <w:ind w:left="720"/>
      <w:contextualSpacing/>
    </w:pPr>
  </w:style>
  <w:style w:styleId="BodyText" w:type="paragraph">
    <w:name w:val="Body Text"/>
    <w:basedOn w:val="Normal"/>
    <w:link w:val="BodyTextChar"/>
    <w:uiPriority w:val="99"/>
    <w:unhideWhenUsed/>
    <w:rsid w:val="00AA1D8D"/>
    <w:pPr>
      <w:keepNext w:val="0"/>
      <w:spacing w:after="0" w:before="0" w:line="276" w:lineRule="auto"/>
      <w:jc w:val="both"/>
    </w:pPr>
    <w:rPr>
      <w:rFonts w:ascii="Times New Roman" w:hAnsi="Times New Roman"/>
      <w:b w:val="0"/>
      <w:i w:val="0"/>
      <w:sz w:val="22"/>
    </w:rPr>
  </w:style>
  <w:style w:customStyle="1" w:styleId="BodyTextChar" w:type="character">
    <w:name w:val="Body Text Char"/>
    <w:basedOn w:val="DefaultParagraphFont"/>
    <w:link w:val="BodyText"/>
    <w:uiPriority w:val="99"/>
    <w:rsid w:val="00AA1D8D"/>
  </w:style>
  <w:style w:styleId="BodyText2" w:type="paragraph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customStyle="1" w:styleId="BodyText2Char" w:type="character">
    <w:name w:val="Body Text 2 Char"/>
    <w:basedOn w:val="DefaultParagraphFont"/>
    <w:link w:val="BodyText2"/>
    <w:uiPriority w:val="99"/>
    <w:rsid w:val="00AA1D8D"/>
  </w:style>
  <w:style w:styleId="BodyText3" w:type="paragraph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customStyle="1" w:styleId="BodyText3Char" w:type="characte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styleId="List" w:type="paragraph">
    <w:name w:val="List"/>
    <w:basedOn w:val="Normal"/>
    <w:uiPriority w:val="99"/>
    <w:unhideWhenUsed/>
    <w:rsid w:val="00AA1D8D"/>
    <w:pPr>
      <w:ind w:hanging="360" w:left="360"/>
      <w:contextualSpacing/>
    </w:pPr>
  </w:style>
  <w:style w:styleId="List2" w:type="paragraph">
    <w:name w:val="List 2"/>
    <w:basedOn w:val="Normal"/>
    <w:uiPriority w:val="99"/>
    <w:unhideWhenUsed/>
    <w:rsid w:val="00326F90"/>
    <w:pPr>
      <w:ind w:hanging="360" w:left="720"/>
      <w:contextualSpacing/>
    </w:pPr>
  </w:style>
  <w:style w:styleId="List3" w:type="paragraph">
    <w:name w:val="List 3"/>
    <w:basedOn w:val="Normal"/>
    <w:uiPriority w:val="99"/>
    <w:unhideWhenUsed/>
    <w:rsid w:val="00326F90"/>
    <w:pPr>
      <w:ind w:hanging="360" w:left="1080"/>
      <w:contextualSpacing/>
    </w:pPr>
  </w:style>
  <w:style w:styleId="ListBullet" w:type="paragraph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styleId="ListBullet2" w:type="paragraph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styleId="ListBullet3" w:type="paragraph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styleId="ListNumber" w:type="paragraph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styleId="ListNumber2" w:type="paragraph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styleId="ListNumber3" w:type="paragraph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styleId="ListContinue" w:type="paragraph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styleId="ListContinue2" w:type="paragraph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styleId="ListContinue3" w:type="paragraph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styleId="MacroText" w:type="paragraph">
    <w:name w:val="macro"/>
    <w:link w:val="MacroTextChar"/>
    <w:uiPriority w:val="99"/>
    <w:unhideWhenUsed/>
    <w:rsid w:val="0029639D"/>
    <w:pPr>
      <w:tabs>
        <w:tab w:pos="576" w:val="left"/>
        <w:tab w:pos="1152" w:val="left"/>
        <w:tab w:pos="1728" w:val="left"/>
        <w:tab w:pos="2304" w:val="left"/>
        <w:tab w:pos="2880" w:val="left"/>
        <w:tab w:pos="3456" w:val="left"/>
        <w:tab w:pos="4032" w:val="left"/>
      </w:tabs>
    </w:pPr>
    <w:rPr>
      <w:rFonts w:ascii="Courier" w:hAnsi="Courier"/>
      <w:sz w:val="20"/>
      <w:szCs w:val="20"/>
    </w:rPr>
  </w:style>
  <w:style w:customStyle="1" w:styleId="MacroTextChar" w:type="characte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styleId="Quote" w:type="paragraph">
    <w:name w:val="Quote"/>
    <w:basedOn w:val="Normal"/>
    <w:next w:val="Normal"/>
    <w:link w:val="QuoteChar"/>
    <w:uiPriority w:val="29"/>
    <w:qFormat/>
    <w:rsid w:val="00FC693F"/>
    <w:rPr>
      <w:i/>
      <w:iCs/>
      <w:color w:themeColor="text1" w:val="000000"/>
    </w:rPr>
  </w:style>
  <w:style w:customStyle="1" w:styleId="QuoteChar" w:type="character">
    <w:name w:val="Quote Char"/>
    <w:basedOn w:val="DefaultParagraphFont"/>
    <w:link w:val="Quote"/>
    <w:uiPriority w:val="29"/>
    <w:rsid w:val="00FC693F"/>
    <w:rPr>
      <w:i/>
      <w:iCs/>
      <w:color w:themeColor="text1" w:val="000000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FC693F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FC693F"/>
    <w:rPr>
      <w:rFonts w:asciiTheme="majorHAnsi" w:cstheme="majorBidi" w:eastAsiaTheme="majorEastAsia" w:hAnsiTheme="majorHAnsi"/>
      <w:color w:themeColor="accent1" w:themeShade="7F" w:val="243F60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FC693F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FC693F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Caption" w:type="paragraph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themeColor="accent1" w:val="4F81BD"/>
      <w:sz w:val="18"/>
      <w:szCs w:val="18"/>
    </w:rPr>
  </w:style>
  <w:style w:styleId="Strong" w:type="character">
    <w:name w:val="Strong"/>
    <w:basedOn w:val="DefaultParagraphFont"/>
    <w:uiPriority w:val="22"/>
    <w:qFormat/>
    <w:rsid w:val="00FC693F"/>
    <w:rPr>
      <w:b/>
      <w:bCs/>
    </w:rPr>
  </w:style>
  <w:style w:styleId="Emphasis" w:type="character">
    <w:name w:val="Emphasis"/>
    <w:basedOn w:val="DefaultParagraphFont"/>
    <w:uiPriority w:val="20"/>
    <w:qFormat/>
    <w:rsid w:val="00FC693F"/>
    <w:rPr>
      <w:i/>
      <w:iCs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FC693F"/>
    <w:rPr>
      <w:b/>
      <w:bCs/>
      <w:i/>
      <w:iCs/>
      <w:color w:themeColor="accent1" w:val="4F81BD"/>
    </w:rPr>
  </w:style>
  <w:style w:styleId="SubtleEmphasis" w:type="character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styleId="IntenseEmphasis" w:type="character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styleId="SubtleReference" w:type="character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styleId="IntenseReference" w:type="character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styleId="BookTitle" w:type="character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styleId="TOCHeading" w:type="paragraph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styleId="TableGrid" w:type="table">
    <w:name w:val="Table Grid"/>
    <w:basedOn w:val="TableNormal"/>
    <w:uiPriority w:val="59"/>
    <w:rsid w:val="00FC693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LightShading" w:type="table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LightShading-Accent1" w:type="table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LightShading-Accent2" w:type="table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 w:val="94363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LightShading-Accent3" w:type="table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LightShading-Accent4" w:type="table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 w:val="5F497A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LightShading-Accent5" w:type="table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LightShading-Accent6" w:type="table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LightList" w:type="table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LightList-Accent1" w:type="table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LightList-Accent2" w:type="table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LightList-Accent3" w:type="table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LightList-Accent4" w:type="table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LightList-Accent5" w:type="table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LightList-Accent6" w:type="table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LightGrid" w:type="table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LightGrid-Accent1" w:type="table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LightGrid-Accent2" w:type="table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LightGrid-Accent3" w:type="table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LightGrid-Accent4" w:type="table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LightGrid-Accent5" w:type="table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LightGrid-Accent6" w:type="table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MediumShading1" w:type="table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1" w:type="table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2" w:type="table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3" w:type="table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4" w:type="table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5" w:type="table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6" w:type="table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2" w:type="table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1" w:type="table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2" w:type="table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3" w:type="table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4" w:type="table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5" w:type="table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6" w:type="table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List1" w:type="table">
    <w:name w:val="Medium List 1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MediumList1-Accent1" w:type="table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MediumList1-Accent2" w:type="table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MediumList1-Accent3" w:type="table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MediumList1-Accent4" w:type="table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MediumList1-Accent5" w:type="table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MediumList1-Accent6" w:type="table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MediumList2" w:type="table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1" w:type="table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2" w:type="table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3" w:type="table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4" w:type="table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5" w:type="table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6" w:type="table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Grid1" w:type="table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MediumGrid1-Accent1" w:type="table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MediumGrid1-Accent2" w:type="table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MediumGrid1-Accent3" w:type="table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MediumGrid1-Accent4" w:type="table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MediumGrid1-Accent5" w:type="table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MediumGrid1-Accent6" w:type="table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MediumGrid2" w:type="table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1" w:type="table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2" w:type="table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3" w:type="table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4" w:type="table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5" w:type="table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6" w:type="table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3" w:type="table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MediumGrid3-Accent1" w:type="table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MediumGrid3-Accent2" w:type="table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MediumGrid3-Accent3" w:type="table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MediumGrid3-Accent4" w:type="table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MediumGrid3-Accent5" w:type="table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MediumGrid3-Accent6" w:type="table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DarkList" w:type="table">
    <w:name w:val="Dark List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DarkList-Accent1" w:type="table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DarkList-Accent2" w:type="table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DarkList-Accent3" w:type="table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DarkList-Accent4" w:type="table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DarkList-Accent5" w:type="table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DarkList-Accent6" w:type="table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ColorfulShading" w:type="table">
    <w:name w:val="Colorful Shading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1" w:type="table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2" w:type="table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3" w:type="table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ColorfulShading-Accent4" w:type="table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5" w:type="table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6" w:type="table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List" w:type="table">
    <w:name w:val="Colorful List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ColorfulList-Accent1" w:type="table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ColorfulList-Accent2" w:type="table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ColorfulList-Accent3" w:type="table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ColorfulList-Accent4" w:type="table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ColorfulList-Accent5" w:type="table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ColorfulList-Accent6" w:type="table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ColorfulGrid" w:type="table">
    <w:name w:val="Colorful Grid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ColorfulGrid-Accent1" w:type="table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ColorfulGrid-Accent2" w:type="table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ColorfulGrid-Accent3" w:type="table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ColorfulGrid-Accent4" w:type="table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ColorfulGrid-Accent5" w:type="table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ColorfulGrid-Accent6" w:type="table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customStyle="1" w:styleId="FirstParagraph" w:type="paragraph">
    <w:name w:val="First Paragraph"/>
    <w:basedOn w:val="BodyText"/>
    <w:pPr>
      <w:keepNext w:val="0"/>
      <w:spacing w:after="0" w:before="0" w:line="276" w:lineRule="auto"/>
      <w:jc w:val="both"/>
    </w:pPr>
    <w:rPr>
      <w:rFonts w:ascii="Times New Roman" w:hAnsi="Times New Roman"/>
      <w:b w:val="0"/>
      <w:i w:val="0"/>
      <w:sz w:val="22"/>
    </w:rPr>
  </w:style>
  <w:style w:customStyle="1" w:styleId="Compact" w:type="paragraph">
    <w:name w:val="Compact"/>
    <w:basedOn w:val="BodyText"/>
    <w:pPr>
      <w:keepNext w:val="0"/>
      <w:spacing w:after="40" w:before="0" w:line="252" w:lineRule="auto"/>
      <w:ind w:left="317" w:hanging="259"/>
      <w:jc w:val="both"/>
    </w:pPr>
    <w:rPr>
      <w:rFonts w:ascii="Times New Roman" w:hAnsi="Times New Roman"/>
      <w:b w:val="0"/>
      <w:i w:val="0"/>
      <w:sz w:val="22"/>
    </w:rPr>
  </w:style>
  <w:style w:customStyle="1" w:styleId="AbstractLabel" w:type="paragraph">
    <w:name w:val="Abstract Label"/>
    <w:basedOn w:val="BodyText"/>
    <w:pPr>
      <w:keepNext/>
      <w:spacing w:after="80" w:before="80"/>
      <w:jc w:val="center"/>
    </w:pPr>
    <w:rPr>
      <w:rFonts w:ascii="Times New Roman" w:hAnsi="Times New Roman"/>
      <w:b/>
      <w:i w:val="0"/>
      <w:sz w:val="22"/>
    </w:rPr>
  </w:style>
  <w:style w:customStyle="1" w:styleId="Keywords" w:type="paragraph">
    <w:name w:val="Keywords"/>
    <w:basedOn w:val="BodyText"/>
    <w:pPr>
      <w:keepNext w:val="0"/>
      <w:spacing w:after="80" w:before="0"/>
      <w:jc w:val="both"/>
    </w:pPr>
    <w:rPr>
      <w:rFonts w:ascii="Times New Roman" w:hAnsi="Times New Roman"/>
      <w:b w:val="0"/>
      <w:i w:val="0"/>
      <w:sz w:val="22"/>
    </w:rPr>
  </w:style>
  <w:style w:customStyle="1" w:styleId="ImageCaption" w:type="paragraph">
    <w:name w:val="Image Caption"/>
    <w:basedOn w:val="BodyText"/>
    <w:pPr>
      <w:keepNext w:val="0"/>
      <w:spacing w:after="120" w:before="80" w:line="240" w:lineRule="auto"/>
      <w:jc w:val="center"/>
    </w:pPr>
    <w:rPr>
      <w:rFonts w:ascii="Times New Roman" w:hAnsi="Times New Roman"/>
      <w:b w:val="0"/>
      <w:i/>
      <w:sz w:val="19"/>
    </w:rPr>
  </w:style>
  <w:style w:customStyle="1" w:styleId="TableCaption" w:type="paragraph">
    <w:name w:val="Table Caption"/>
    <w:basedOn w:val="BodyText"/>
    <w:pPr>
      <w:keepNext/>
      <w:spacing w:after="60" w:before="160" w:line="240" w:lineRule="auto"/>
      <w:jc w:val="center"/>
    </w:pPr>
    <w:rPr>
      <w:rFonts w:ascii="Times New Roman" w:hAnsi="Times New Roman"/>
      <w:b w:val="0"/>
      <w:i/>
      <w:sz w:val="19"/>
    </w:rPr>
  </w:style>
  <w:style w:customStyle="1" w:styleId="ReferencesHeading" w:type="paragraph">
    <w:name w:val="References Heading"/>
    <w:basedOn w:val="Heading1"/>
    <w:pPr>
      <w:keepNext/>
      <w:spacing w:after="120" w:before="240"/>
    </w:pPr>
    <w:rPr>
      <w:rFonts w:ascii="Times New Roman" w:hAnsi="Times New Roman"/>
      <w:b/>
      <w:i w:val="0"/>
      <w:sz w:val="28"/>
    </w:rPr>
  </w:style>
  <w:style w:customStyle="1" w:styleId="ReferenceEntry" w:type="paragraph">
    <w:name w:val="Reference Entry"/>
    <w:basedOn w:val="BodyText"/>
    <w:pPr>
      <w:keepNext w:val="0"/>
      <w:spacing w:after="40" w:before="0" w:line="240" w:lineRule="auto"/>
      <w:ind w:left="0" w:firstLine="0"/>
      <w:jc w:val="both"/>
    </w:pPr>
    <w:rPr>
      <w:rFonts w:ascii="Times New Roman" w:hAnsi="Times New Roman"/>
      <w:b w:val="0"/>
      <w:i w:val="0"/>
      <w:sz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webSettings" Target="webSettings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footnotes" Target="footnotes.xml"/><Relationship Id="rId1" Type="http://schemas.openxmlformats.org/officeDocument/2006/relationships/comments" Target="commen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2026-05-10T11:32:09Z</dcterms:created>
  <dcterms:modified xsi:type="dcterms:W3CDTF">2026-05-10T11:32:09Z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