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5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supplementary-material"/>
    <w:p>
      <w:pPr>
        <w:pStyle w:val="Title"/>
        <w:spacing w:before="0" w:after="160"/>
        <w:jc w:val="center"/>
        <w:keepNext/>
        <w:keepLines/>
        <w:widowControl w:val="1"/>
      </w:pPr>
      <w:r>
        <w:t xml:space="preserve">Supplementary Material</w:t>
      </w:r>
    </w:p>
    <w:p>
      <w:pPr>
        <w:pStyle w:val="Subtitle"/>
        <w:spacing w:before="0" w:after="160"/>
        <w:jc w:val="center"/>
        <w:keepNext w:val="0"/>
        <w:keepLines/>
        <w:widowControl w:val="1"/>
      </w:pPr>
      <w:r>
        <w:rPr>
          <w:rFonts w:ascii="Georgia" w:hAnsi="Georgia"/>
          <w:b w:val="0"/>
          <w:i/>
          <w:iCs/>
          <w:sz w:val="20"/>
        </w:rPr>
        <w:t xml:space="preserve">Supplementary Material for</w:t>
      </w:r>
      <w:r>
        <w:rPr>
          <w:rFonts w:ascii="Georgia" w:hAnsi="Georgia"/>
          <w:b w:val="0"/>
          <w:i/>
          <w:sz w:val="20"/>
        </w:rPr>
        <w:t xml:space="preserve"> </w:t>
      </w:r>
      <w:r>
        <w:rPr>
          <w:rFonts w:ascii="Georgia" w:hAnsi="Georgia"/>
          <w:b w:val="0"/>
          <w:i/>
          <w:sz w:val="20"/>
        </w:rPr>
        <w:t xml:space="preserve">"Beyond Prompting: Framing, Judging, and Steering as Assessable Competencies for Reasoning With Generative AI in Higher Education."</w:t>
      </w:r>
    </w:p>
    <w:bookmarkStart w:id="18" w:name="Xd731927fe112efe1edcedf5385efb1700e7c07f"/>
    <w:p>
      <w:pPr>
        <w:pStyle w:val="Heading2"/>
        <w:keepNext/>
        <w:keepLines/>
        <w:widowControl w:val="1"/>
      </w:pPr>
      <w:r>
        <w:t xml:space="preserve">1. System walkthrough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Figure A1 shows a single challenge run in CoReasoningLab, illustrating how the three skills appear as</w:t>
      </w:r>
      <w:r>
        <w:t xml:space="preserve"> </w:t>
      </w:r>
      <w:r>
        <w:t xml:space="preserve">distinct, separately-scored stages of one continuous task. In Phase 1 the learner refines an</w:t>
      </w:r>
      <w:r>
        <w:t xml:space="preserve"> </w:t>
      </w:r>
      <w:r>
        <w:t xml:space="preserve">ill-defined problem and receives a Framing grade. The system then produces a deliberately flawed</w:t>
      </w:r>
      <w:r>
        <w:t xml:space="preserve"> </w:t>
      </w:r>
      <w:r>
        <w:t xml:space="preserve">solution. In Phase 2 the learner judges that output (flagging real issues while avoiding distractors)</w:t>
      </w:r>
      <w:r>
        <w:t xml:space="preserve"> </w:t>
      </w:r>
      <w:r>
        <w:t xml:space="preserve">and steers the AI with a targeted correction; the output converges across cycles. The final report</w:t>
      </w:r>
      <w:r>
        <w:t xml:space="preserve"> </w:t>
      </w:r>
      <w:r>
        <w:t xml:space="preserve">returns three independent grades with per-skill diagnostic feedback, the interface-level expression of</w:t>
      </w:r>
      <w:r>
        <w:t xml:space="preserve"> </w:t>
      </w:r>
      <w:r>
        <w:t xml:space="preserve">the framework's central claim that productive AI use is not one skill but three.</w:t>
      </w:r>
    </w:p>
    <w:p>
      <w:pPr>
        <w:pStyle w:val="BodyText"/>
        <w:jc w:val="center"/>
        <w:keepNext/>
        <w:keepLines/>
        <w:widowControl w:val="1"/>
      </w:pPr>
      <w:r>
        <w:drawing>
          <wp:inline>
            <wp:extent cx="5943600" cy="4786207"/>
            <wp:effectExtent b="0" l="0" r="0" t="0"/>
            <wp:docPr descr="Figure A1. A CoReasoningLab challenge run." title="" id="10" name="Picture"/>
            <a:graphic>
              <a:graphicData uri="http://schemas.openxmlformats.org/drawingml/2006/picture">
                <pic:pic>
                  <pic:nvPicPr>
                    <pic:cNvPr descr="assets/system-challenge-run.png" id="11" name="Picture"/>
                    <pic:cNvPicPr>
                      <a:picLocks noChangeArrowheads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86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spacing w:before="80" w:after="120" w:line="240" w:lineRule="auto"/>
        <w:jc w:val="center"/>
        <w:keepNext w:val="0"/>
        <w:keepLines/>
        <w:widowControl w:val="1"/>
      </w:pPr>
      <w:r>
        <w:rPr>
          <w:b/>
          <w:i/>
        </w:rPr>
        <w:t>Figure A1.</w:t>
      </w:r>
      <w:r>
        <w:rPr>
          <w:b w:val="0"/>
          <w:i/>
        </w:rPr>
        <w:t xml:space="preserve"> </w:t>
      </w:r>
      <w:r>
        <w:rPr>
          <w:b w:val="0"/>
          <w:i/>
        </w:rPr>
        <w:t>Screenshot of the running platform: a learner's challenge run at the Framing phase. The engine has generated an ill-defined problem (here, an AI hiring-screening task), and the learner specifies refinements before any solution is produced. The two-phase structure is explicit in the interface, Phase 1 (Framing) and Phase 2 (the Judge-Steer cycle), and each skill is scored and given feedback independently.</w:t>
      </w:r>
    </w:p>
    <w:p>
      <w:pPr>
        <w:pStyle w:val="BodyText"/>
        <w:jc w:val="both"/>
        <w:keepNext w:val="0"/>
        <w:keepLines w:val="0"/>
        <w:widowControl w:val="1"/>
      </w:pPr>
      <w:r>
        <w:t xml:space="preserve">The platform exposes role-specific interfaces beyond the challenge run (Figure A2). Students see a</w:t>
      </w:r>
      <w:r>
        <w:t xml:space="preserve"> </w:t>
      </w:r>
      <w:r>
        <w:t xml:space="preserve">dashboard of pending challenges and courses and a personal results view that trends Framing, Judging,</w:t>
      </w:r>
      <w:r>
        <w:t xml:space="preserve"> </w:t>
      </w:r>
      <w:r>
        <w:t xml:space="preserve">and Steering separately over time. Instructors author challenges (the system auto-generates the</w:t>
      </w:r>
      <w:r>
        <w:t xml:space="preserve"> </w:t>
      </w:r>
      <w:r>
        <w:t xml:space="preserve">ill-defined problem and the three per-skill rubrics) and read course analytics that break grade</w:t>
      </w:r>
      <w:r>
        <w:t xml:space="preserve"> </w:t>
      </w:r>
      <w:r>
        <w:t xml:space="preserve">distributions down by rubric and by student. In every view the three skills remain distinct columns,</w:t>
      </w:r>
      <w:r>
        <w:t xml:space="preserve"> </w:t>
      </w:r>
      <w:r>
        <w:t xml:space="preserve">which is the design commitment the framework makes visible.</w:t>
      </w:r>
    </w:p>
    <w:p>
      <w:pPr>
        <w:pStyle w:val="BodyText"/>
        <w:jc w:val="center"/>
        <w:keepNext/>
        <w:keepLines/>
        <w:widowControl w:val="1"/>
      </w:pPr>
      <w:r>
        <w:drawing>
          <wp:inline>
            <wp:extent cx="5943600" cy="4412672"/>
            <wp:effectExtent b="0" l="0" r="0" t="0"/>
            <wp:docPr descr="Figure A2. CoReasoningLab instructor course analytics." title="" id="13" name="Picture"/>
            <a:graphic>
              <a:graphicData uri="http://schemas.openxmlformats.org/drawingml/2006/picture">
                <pic:pic>
                  <pic:nvPicPr>
                    <pic:cNvPr descr="assets/system-instructor-analytics.png" id="14" name="Picture"/>
                    <pic:cNvPicPr>
                      <a:picLocks noChangeArrowheads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126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spacing w:before="80" w:after="120" w:line="240" w:lineRule="auto"/>
        <w:jc w:val="center"/>
        <w:keepNext w:val="0"/>
        <w:keepLines/>
        <w:widowControl w:val="1"/>
      </w:pPr>
      <w:r>
        <w:rPr>
          <w:b/>
          <w:i/>
        </w:rPr>
        <w:t>Figure A2.</w:t>
      </w:r>
      <w:r>
        <w:rPr>
          <w:b w:val="0"/>
          <w:i/>
        </w:rPr>
        <w:t xml:space="preserve"> </w:t>
      </w:r>
      <w:r>
        <w:rPr>
          <w:b w:val="0"/>
          <w:i/>
        </w:rPr>
        <w:t>Screenshot of the running platform: the instructor course-analytics view. Grade distribution is broken out into separate Framing, Judging, and Steering panels, and the per-student results list the three skills as distinct columns, the interface-level expression of the framework's central claim that productive AI use is not one skill but three.</w:t>
      </w:r>
    </w:p>
    <w:p>
      <w:pPr>
        <w:pStyle w:val="BodyText"/>
        <w:jc w:val="center"/>
        <w:keepNext/>
        <w:keepLines/>
        <w:widowControl w:val="1"/>
      </w:pPr>
      <w:r>
        <w:drawing>
          <wp:inline>
            <wp:extent cx="5943600" cy="4002832"/>
            <wp:effectExtent b="0" l="0" r="0" t="0"/>
            <wp:docPr descr="Figure A3. Auto-generation and assessment pipeline of the CoReasoningLab engine." title="" id="16" name="Picture"/>
            <a:graphic>
              <a:graphicData uri="http://schemas.openxmlformats.org/drawingml/2006/picture">
                <pic:pic>
                  <pic:nvPicPr>
                    <pic:cNvPr descr="E:/tmp/html2doc_svg_yTCAE7/svg_0.png" id="17" name="Picture"/>
                    <pic:cNvPicPr>
                      <a:picLocks noChangeArrowheads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00283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  <w:spacing w:before="80" w:after="120" w:line="240" w:lineRule="auto"/>
        <w:jc w:val="center"/>
        <w:keepNext w:val="0"/>
        <w:keepLines/>
        <w:widowControl w:val="1"/>
      </w:pPr>
      <w:r>
        <w:rPr>
          <w:b/>
          <w:i/>
        </w:rPr>
        <w:t>Figure A3.</w:t>
      </w:r>
      <w:r>
        <w:rPr>
          <w:b w:val="0"/>
          <w:i/>
        </w:rPr>
        <w:t xml:space="preserve"> </w:t>
      </w:r>
      <w:r>
        <w:rPr>
          <w:b w:val="0"/>
          <w:i/>
        </w:rPr>
        <w:t>The sixteen-prompt engine in two phases. In authoring, the instructor names a subject and the engine generates the ill-defined problem (prompt 01), three per-skill rubrics and a gold framing (02, 14), and a deliberately flawed AI solution carrying seeded issues (03). In assessment, each learner response is scored against a different referent: Framing against the gold framing and rubric (08), Judging against the seeded issues (09), and Steering against the corrected trajectory after the output is re-run (04, 10); a single grader prompt (11) then assigns each skill its own grade, and the three feed the per-student report and course analytics. Because the three evaluation prompts interrogate different referents, the grades are produced independently rather than as one global impression.</w:t>
      </w:r>
    </w:p>
    <w:bookmarkEnd w:id="18"/>
    <w:bookmarkStart w:id="19" w:name="X172263cace3c3e7541464a413a91e8a3f874842"/>
    <w:p>
      <w:pPr>
        <w:pStyle w:val="Heading2"/>
        <w:keepNext/>
        <w:keepLines/>
        <w:widowControl w:val="1"/>
      </w:pPr>
      <w:r>
        <w:t xml:space="preserve">2. Robustness and ablations</w:t>
      </w:r>
    </w:p>
    <w:p>
      <w:pPr>
        <w:pStyle w:val="FirstParagraph"/>
        <w:jc w:val="both"/>
        <w:keepNext w:val="0"/>
        <w:keepLines w:val="0"/>
        <w:widowControl w:val="1"/>
      </w:pPr>
      <w:r>
        <w:rPr>
          <w:b/>
          <w:bCs/>
        </w:rPr>
        <w:t xml:space="preserve">Reliability.</w:t>
      </w:r>
      <w:r>
        <w:t xml:space="preserve"> </w:t>
      </w:r>
      <w:r>
        <w:t xml:space="preserve">To check that the grades are not noise, we hold four learner transcripts fixed and</w:t>
      </w:r>
      <w:r>
        <w:t xml:space="preserve"> </w:t>
      </w:r>
      <w:r>
        <w:t xml:space="preserve">re-run the evaluation-and-grading prompts five times each, an independent sample each time at the</w:t>
      </w:r>
      <w:r>
        <w:t xml:space="preserve"> </w:t>
      </w:r>
      <w:r>
        <w:t xml:space="preserve">production temperatures. The grader is</w:t>
      </w:r>
      <w:r>
        <w:t xml:space="preserve"> </w:t>
      </w:r>
      <w:r>
        <w:rPr>
          <w:b/>
          <w:bCs/>
        </w:rPr>
        <w:t xml:space="preserve">92% self-consistent</w:t>
      </w:r>
      <w:r>
        <w:t xml:space="preserve"> </w:t>
      </w:r>
      <w:r>
        <w:t xml:space="preserve">overall: the</w:t>
      </w:r>
      <w:r>
        <w:t xml:space="preserve"> </w:t>
      </w:r>
      <w:r>
        <w:t xml:space="preserve">mean grade-flip rate across repeats is 0.08, with Judging deterministic (0.00, by construction),</w:t>
      </w:r>
      <w:r>
        <w:t xml:space="preserve"> </w:t>
      </w:r>
      <w:r>
        <w:t xml:space="preserve">Framing 0.15, and Steering 0.10, and a mean within-cell grade standard deviation near 0.2 on the</w:t>
      </w:r>
      <w:r>
        <w:t xml:space="preserve"> </w:t>
      </w:r>
      <w:r>
        <w:t xml:space="preserve">three-point scale, indicating that disagreements are occasional one-level boundary jitter rather than</w:t>
      </w:r>
      <w:r>
        <w:t xml:space="preserve"> </w:t>
      </w:r>
      <w:r>
        <w:t xml:space="preserve">unstable scoring. This addresses the documented self-inconsistency of LLM judges, though it measures</w:t>
      </w:r>
      <w:r>
        <w:t xml:space="preserve"> </w:t>
      </w:r>
      <w:r>
        <w:rPr>
          <w:i/>
          <w:iCs/>
        </w:rPr>
        <w:t xml:space="preserve">precision</w:t>
      </w:r>
      <w:r>
        <w:t xml:space="preserve"> </w:t>
      </w:r>
      <w:r>
        <w:t xml:space="preserve">(repeatability), not</w:t>
      </w:r>
      <w:r>
        <w:t xml:space="preserve"> </w:t>
      </w:r>
      <w:r>
        <w:rPr>
          <w:i/>
          <w:iCs/>
        </w:rPr>
        <w:t xml:space="preserve">accuracy</w:t>
      </w:r>
      <w:r>
        <w:t xml:space="preserve"> </w:t>
      </w:r>
      <w:r>
        <w:t xml:space="preserve">against humans (Section 9.3). Because Judging contributes a</w:t>
      </w:r>
      <w:r>
        <w:t xml:space="preserve"> </w:t>
      </w:r>
      <w:r>
        <w:t xml:space="preserve">flip rate of zero by construction, the load-bearing figure is the blind-graded skills, whose flip rate</w:t>
      </w:r>
      <w:r>
        <w:t xml:space="preserve"> </w:t>
      </w:r>
      <w:r>
        <w:t xml:space="preserve">is near 0.12.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Grader-backend robustness (across vendors).</w:t>
      </w:r>
      <w:r>
        <w:t xml:space="preserve"> </w:t>
      </w:r>
      <w:r>
        <w:t xml:space="preserve">The dissociation holds across three grader backends</w:t>
      </w:r>
      <w:r>
        <w:t xml:space="preserve"> </w:t>
      </w:r>
      <w:r>
        <w:t xml:space="preserve">spanning two providers. The primary grades come from gpt-4o; re-grading the identical 40 transcripts</w:t>
      </w:r>
      <w:r>
        <w:t xml:space="preserve"> </w:t>
      </w:r>
      <w:r>
        <w:t xml:space="preserve">(challenges and learner responses held fixed) with gpt-4o-mini reproduces it (diagonal +0.47 versus</w:t>
      </w:r>
      <w:r>
        <w:t xml:space="preserve"> </w:t>
      </w:r>
      <w:r>
        <w:t xml:space="preserve">off-diagonal +0.07), and re-grading the same transcripts with an independent-vendor model,</w:t>
      </w:r>
      <w:r>
        <w:t xml:space="preserve"> </w:t>
      </w:r>
      <w:r>
        <w:t xml:space="preserve">Meta's llama-3.3-70b (the prototype's own engine), reproduces it again with a stronger margin:</w:t>
      </w:r>
      <w:r>
        <w:t xml:space="preserve"> </w:t>
      </w:r>
      <w:r>
        <w:t xml:space="preserve">own-skill effects of +0.80 (Framing), +0.75 (Judging), and +0.40 (Steering) against a mean cross-skill</w:t>
      </w:r>
      <w:r>
        <w:t xml:space="preserve"> </w:t>
      </w:r>
      <w:r>
        <w:t xml:space="preserve">effect of +0.02, a diagonal-to-off-diagonal ratio of 39. Two facts stand out across backends. First,</w:t>
      </w:r>
      <w:r>
        <w:t xml:space="preserve"> </w:t>
      </w:r>
      <w:r>
        <w:t xml:space="preserve">Judging's own-effect is +2.00 only under gpt-4o's strict adherence to the seeded-issue selection; under</w:t>
      </w:r>
      <w:r>
        <w:t xml:space="preserve"> </w:t>
      </w:r>
      <w:r>
        <w:t xml:space="preserve">both gpt-4o-mini and the independent-vendor llama it settles to +0.65 and +0.75, level with Framing</w:t>
      </w:r>
      <w:r>
        <w:t xml:space="preserve"> </w:t>
      </w:r>
      <w:r>
        <w:t xml:space="preserve">(+0.65 and +0.80), so the separation is balanced across all three skills, not propped up by the built-in</w:t>
      </w:r>
      <w:r>
        <w:t xml:space="preserve"> </w:t>
      </w:r>
      <w:r>
        <w:t xml:space="preserve">Judging diagonal. Second, every backend reproduces the designed contrast profiles (a strong-framer /</w:t>
      </w:r>
      <w:r>
        <w:t xml:space="preserve"> </w:t>
      </w:r>
      <w:r>
        <w:t xml:space="preserve">weak-judge learner scores high Framing and low Judging, and the inverse for a weak-framer / strong-judge</w:t>
      </w:r>
      <w:r>
        <w:t xml:space="preserve"> </w:t>
      </w:r>
      <w:r>
        <w:t xml:space="preserve">learner), which a single general-ability account cannot produce. Because the result holds across three</w:t>
      </w:r>
      <w:r>
        <w:t xml:space="preserve"> </w:t>
      </w:r>
      <w:r>
        <w:t xml:space="preserve">independently-versioned models from two vendors (gpt-4o, gpt-4o-mini, and Meta's llama-3.3-70b), it does</w:t>
      </w:r>
      <w:r>
        <w:t xml:space="preserve"> </w:t>
      </w:r>
      <w:r>
        <w:t xml:space="preserve">not hinge on a single model snapshot; the released harness pins the model identifiers so the run</w:t>
      </w:r>
      <w:r>
        <w:t xml:space="preserve"> </w:t>
      </w:r>
      <w:r>
        <w:t xml:space="preserve">reproduces, and the cross-backend agreement is the evidence that it generalizes beyond any one of them.</w:t>
      </w:r>
      <w:r>
        <w:t xml:space="preserve"> </w:t>
      </w:r>
      <w:r>
        <w:t xml:space="preserve">Cross-vendor replication is therefore established, not deferred.</w:t>
      </w:r>
    </w:p>
    <w:p>
      <w:pPr>
        <w:pStyle w:val="BodyText"/>
        <w:jc w:val="both"/>
        <w:keepNext w:val="0"/>
        <w:keepLines w:val="0"/>
        <w:widowControl w:val="1"/>
      </w:pPr>
      <w:r>
        <w:rPr>
          <w:b/>
          <w:bCs/>
        </w:rPr>
        <w:t xml:space="preserve">Dependence on ground-truth scaffolding.</w:t>
      </w:r>
      <w:r>
        <w:t xml:space="preserve"> </w:t>
      </w:r>
      <w:r>
        <w:t xml:space="preserve">To probe how much the instrument's discrimination relies on</w:t>
      </w:r>
      <w:r>
        <w:t xml:space="preserve"> </w:t>
      </w:r>
      <w:r>
        <w:t xml:space="preserve">the seeded ground truth (the gold framing supplied to the framing evaluator and the known seeded issues</w:t>
      </w:r>
      <w:r>
        <w:t xml:space="preserve"> </w:t>
      </w:r>
      <w:r>
        <w:t xml:space="preserve">supplied to the judging evaluator) versus the model's own judgment, we re-grade a 40-learner subset</w:t>
      </w:r>
      <w:r>
        <w:t xml:space="preserve"> </w:t>
      </w:r>
      <w:r>
        <w:t xml:space="preserve">(five subjects) with that scaffolding removed, comparing against that subset's own baseline (Framing</w:t>
      </w:r>
      <w:r>
        <w:t xml:space="preserve"> </w:t>
      </w:r>
      <w:r>
        <w:t xml:space="preserve">+0.60, Judging +2.00, Steering +0.50). The effect is sharply skill-specific. Framing discrimination is essentially</w:t>
      </w:r>
      <w:r>
        <w:t xml:space="preserve"> </w:t>
      </w:r>
      <w:r>
        <w:t xml:space="preserve">unaffected (own-effect +0.75 without the gold reference, versus +0.60 with it): the rubric and the</w:t>
      </w:r>
      <w:r>
        <w:t xml:space="preserve"> </w:t>
      </w:r>
      <w:r>
        <w:t xml:space="preserve">model's own judgment carry it. Judging discrimination, by contrast, falls sharply (+2.00 to +0.45):</w:t>
      </w:r>
      <w:r>
        <w:t xml:space="preserve"> </w:t>
      </w:r>
      <w:r>
        <w:t xml:space="preserve">without the known issues the grader has no recall-precision anchor and no longer separates strong from</w:t>
      </w:r>
      <w:r>
        <w:t xml:space="preserve"> </w:t>
      </w:r>
      <w:r>
        <w:t xml:space="preserve">weak judging. Steering falls in between (+0.50 to +0.25). The skills still</w:t>
      </w:r>
      <w:r>
        <w:t xml:space="preserve"> </w:t>
      </w:r>
      <w:r>
        <w:t xml:space="preserve">dissociate (ratio 29), and the result pinpoints what each grade measures: Framing and Steering are</w:t>
      </w:r>
      <w:r>
        <w:t xml:space="preserve"> </w:t>
      </w:r>
      <w:r>
        <w:t xml:space="preserve">scored largely by rubric-guided model judgment, whereas Judging</w:t>
      </w:r>
      <w:r>
        <w:t xml:space="preserve"> </w:t>
      </w:r>
      <w:r>
        <w:rPr>
          <w:i/>
          <w:iCs/>
        </w:rPr>
        <w:t xml:space="preserve">as instrumented here</w:t>
      </w:r>
      <w:r>
        <w:t xml:space="preserve"> </w:t>
      </w:r>
      <w:r>
        <w:t xml:space="preserve">tracks agreement</w:t>
      </w:r>
      <w:r>
        <w:t xml:space="preserve"> </w:t>
      </w:r>
      <w:r>
        <w:t xml:space="preserve">with a known answer key. This both explains Judging's by-construction +2.00 and locates the Judging</w:t>
      </w:r>
      <w:r>
        <w:t xml:space="preserve"> </w:t>
      </w:r>
      <w:r>
        <w:t xml:space="preserve">score precisely: it applies where ground truth is known, and open-ended judging without a key is the</w:t>
      </w:r>
      <w:r>
        <w:t xml:space="preserve"> </w:t>
      </w:r>
      <w:r>
        <w:t xml:space="preserve">distinct instrumentation Section 9.3 specifies.</w:t>
      </w:r>
    </w:p>
    <w:bookmarkEnd w:id="19"/>
    <w:bookmarkStart w:id="20" w:name="Xaa4be1d615ab66697a9585f351baef3e019719d"/>
    <w:p>
      <w:pPr>
        <w:pStyle w:val="Heading2"/>
        <w:keepNext/>
        <w:keepLines/>
        <w:widowControl w:val="1"/>
      </w:pPr>
      <w:r>
        <w:t xml:space="preserve">3. Cross-disciplinary challenge showcase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framework and the platform are domain-general. An ill-defined problem with seeded flaws, three</w:t>
      </w:r>
      <w:r>
        <w:t xml:space="preserve"> </w:t>
      </w:r>
      <w:r>
        <w:t xml:space="preserve">per-skill rubrics, and a deliberately-imperfect AI solution can be generated for any subject, because</w:t>
      </w:r>
      <w:r>
        <w:t xml:space="preserve"> </w:t>
      </w:r>
      <w:r>
        <w:t xml:space="preserve">each is produced by a prompt that an educator parameterizes with a course and topic. The released</w:t>
      </w:r>
      <w:r>
        <w:t xml:space="preserve"> </w:t>
      </w:r>
      <w:r>
        <w:t xml:space="preserve">platform ships challenge content across twelve disciplines (Table C1) spanning STEM, the social</w:t>
      </w:r>
      <w:r>
        <w:t xml:space="preserve"> </w:t>
      </w:r>
      <w:r>
        <w:t xml:space="preserve">sciences, the humanities, law, and professional and education fields. CoReasoningLab is in this sense</w:t>
      </w:r>
      <w:r>
        <w:t xml:space="preserve"> </w:t>
      </w:r>
      <w:r>
        <w:t xml:space="preserve">not a computing-education tool but a generic instrument for any discipline in which a learner must</w:t>
      </w:r>
      <w:r>
        <w:t xml:space="preserve"> </w:t>
      </w:r>
      <w:r>
        <w:t xml:space="preserve">specify an ill-defined task, judge a fallible solution, and steer it toward a better one.</w:t>
      </w:r>
    </w:p>
    <w:p>
      <w:pPr>
        <w:pStyle w:val="TableCaption"/>
        <w:spacing w:before="280" w:after="60" w:line="240" w:lineRule="auto"/>
        <w:jc w:val="center"/>
        <w:keepNext/>
        <w:keepLines/>
        <w:widowControl w:val="1"/>
      </w:pPr>
      <w:r>
        <w:rPr>
          <w:b/>
          <w:i/>
        </w:rPr>
        <w:t>Table C1.</w:t>
      </w:r>
      <w:r>
        <w:rPr>
          <w:b w:val="0"/>
          <w:i/>
        </w:rPr>
        <w:t xml:space="preserve"> </w:t>
      </w:r>
      <w:r>
        <w:rPr>
          <w:b w:val="0"/>
          <w:i/>
        </w:rPr>
        <w:t>Disciplines covered by the released challenge content.</w:t>
      </w:r>
    </w:p>
    <w:tbl>
      <w:tblPr>
        <w:tblStyle w:val="Table"/>
        <w:tblW w:type="pct" w:w="5000"/>
        <w:jc w:val="center"/>
        <w:tblLook w:firstRow="1" w:lastRow="0" w:firstColumn="0" w:lastColumn="0" w:noHBand="0" w:noVBand="0" w:val="0020"/>
        <w:tblLayout w:type="autofit"/>
        <w:tblBorders>
          <w:top w:val="single" w:sz="10" w:color="4F6272"/>
          <w:bottom w:val="single" w:sz="10" w:color="4F6272"/>
          <w:insideH w:val="single" w:sz="5" w:color="9FB0C2"/>
          <w:left w:val="single" w:sz="6" w:color="9FB0C2"/>
          <w:right w:val="single" w:sz="6" w:color="9FB0C2"/>
          <w:insideV w:val="single" w:sz="5" w:color="D9E1E8"/>
        </w:tblBorders>
      </w:tblPr>
      <w:tblGrid>
        <w:gridCol w:w="3960"/>
        <w:gridCol w:w="3960"/>
      </w:tblGrid>
      <w:tr>
        <w:trPr>
          <w:tblHeader w:val="on"/>
        </w:trPr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b/>
                <w:sz w:val="19"/>
              </w:rPr>
              <w:t xml:space="preserve">Area</w:t>
            </w:r>
          </w:p>
        </w:tc>
        <w:tc>
          <w:tcPr>
            <w:tcBorders>
              <w:left w:val="nil"/>
              <w:right w:val="nil"/>
              <w:top w:val="nil"/>
              <w:bottom w:val="single" w:sz="8" w:color="9FB0C2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b/>
                <w:sz w:val="19"/>
              </w:rPr>
              <w:t xml:space="preserve">Disciplines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sz w:val="19"/>
              </w:rPr>
              <w:t xml:space="preserve">STEM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sz w:val="19"/>
              </w:rPr>
              <w:t xml:space="preserve">Computer Science (algorithms); Physics (classical mechanics); Mathematics (linear algebra); Electrical Engineering (signal processing); Biology (molecular biology)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sz w:val="19"/>
              </w:rPr>
              <w:t xml:space="preserve">Social sciences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sz w:val="19"/>
              </w:rPr>
              <w:t xml:space="preserve">Economics (microeconomics); Political Science (international relations); Psychology (cognitive psychology)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sz w:val="19"/>
              </w:rPr>
              <w:t xml:space="preserve">Humanities and law</w:t>
            </w:r>
          </w:p>
        </w:tc>
        <w:tc>
          <w:tcPr>
            <w:tcBorders>
              <w:left w:val="nil"/>
              <w:right w:val="nil"/>
              <w:top w:val="nil"/>
              <w:bottom w:val="single" w:sz="4" w:color="D9E1E8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sz w:val="19"/>
              </w:rPr>
              <w:t xml:space="preserve">Philosophy (applied ethics); Law (constitutional law)</w:t>
            </w:r>
          </w:p>
        </w:tc>
      </w:tr>
      <w:tr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sz w:val="19"/>
              </w:rPr>
              <w:t xml:space="preserve">Professional and education</w:t>
            </w:r>
          </w:p>
        </w:tc>
        <w:tc>
          <w:tcPr>
            <w:tcBorders>
              <w:left w:val="nil"/>
              <w:right w:val="nil"/>
              <w:top w:val="nil"/>
              <w:bottom w:val="nil"/>
            </w:tcBorders>
            <w:vAlign w:val="center"/>
          </w:tcPr>
          <w:p>
            <w:pPr>
              <w:pStyle w:val="Compact"/>
              <w:spacing w:before="0" w:after="20" w:line="240" w:lineRule="auto"/>
              <w:jc w:val="center"/>
              <w:keepNext w:val="0"/>
              <w:keepLines/>
              <w:widowControl w:val="1"/>
            </w:pPr>
            <w:r>
              <w:rPr>
                <w:rFonts w:ascii="Georgia" w:hAnsi="Georgia"/>
                <w:sz w:val="19"/>
              </w:rPr>
              <w:t xml:space="preserve">Business (organizational behavior); Education (educational technology)</w:t>
            </w:r>
          </w:p>
        </w:tc>
      </w:tr>
    </w:tbl>
    <w:p>
      <w:pPr>
        <w:pStyle w:val="BodyText"/>
        <w:spacing w:before="240"/>
        <w:jc w:val="both"/>
        <w:keepNext w:val="0"/>
        <w:keepLines w:val="0"/>
        <w:widowControl w:val="1"/>
      </w:pPr>
      <w:r>
        <w:t xml:space="preserve">The four examples below are real ill-defined problems the platform generated, in applied ethics,</w:t>
      </w:r>
      <w:r>
        <w:t xml:space="preserve"> </w:t>
      </w:r>
      <w:r>
        <w:t xml:space="preserve">physics, instructional design, and computing, each of which a learner must Frame before the AI produces</w:t>
      </w:r>
      <w:r>
        <w:t xml:space="preserve"> </w:t>
      </w:r>
      <w:r>
        <w:t xml:space="preserve">a flawed solution to Judge and Steer:</w:t>
      </w:r>
    </w:p>
    <w:p>
      <w:pPr>
        <w:pStyle w:val="Compact"/>
        <w:numPr>
          <w:ilvl w:val="0"/>
          <w:numId w:val="1001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Applied ethics.</w:t>
      </w:r>
      <w:r>
        <w:t xml:space="preserve"> </w:t>
      </w:r>
      <w:r>
        <w:t xml:space="preserve">"As a member of the AI Ethics Committee at a technology company, you have been tasked with developing a set of ethical guidelines for the deployment of a new AI system."</w:t>
      </w:r>
    </w:p>
    <w:p>
      <w:pPr>
        <w:pStyle w:val="Compact"/>
        <w:numPr>
          <w:ilvl w:val="0"/>
          <w:numId w:val="1001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Physics.</w:t>
      </w:r>
      <w:r>
        <w:t xml:space="preserve"> </w:t>
      </w:r>
      <w:r>
        <w:t xml:space="preserve">"As part of a project for a local amusement park, design a new ride that involves a projectile-motion component, and analyze the outcomes."</w:t>
      </w:r>
    </w:p>
    <w:p>
      <w:pPr>
        <w:pStyle w:val="Compact"/>
        <w:numPr>
          <w:ilvl w:val="0"/>
          <w:numId w:val="1001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Instructional design (education).</w:t>
      </w:r>
      <w:r>
        <w:t xml:space="preserve"> </w:t>
      </w:r>
      <w:r>
        <w:t xml:space="preserve">"Our organization is developing a new training program on effective communication skills. Design a backward lesson plan."</w:t>
      </w:r>
    </w:p>
    <w:p>
      <w:pPr>
        <w:pStyle w:val="Compact"/>
        <w:numPr>
          <w:ilvl w:val="0"/>
          <w:numId w:val="1001"/>
        </w:numPr>
        <w:ind w:left="360" w:hanging="259"/>
        <w:jc w:val="both"/>
        <w:keepNext w:val="0"/>
        <w:keepLines w:val="0"/>
        <w:widowControl w:val="1"/>
      </w:pPr>
      <w:r>
        <w:rPr>
          <w:b/>
          <w:bCs/>
        </w:rPr>
        <w:t xml:space="preserve">Computer science.</w:t>
      </w:r>
      <w:r>
        <w:t xml:space="preserve"> </w:t>
      </w:r>
      <w:r>
        <w:t xml:space="preserve">"Our company is building a navigation app. Design an algorithm that computes the shortest path between two locations on a road network with varying travel speeds, possible road closures, and concurrent route requests."</w:t>
      </w:r>
    </w:p>
    <w:p>
      <w:pPr>
        <w:pStyle w:val="FirstParagraph"/>
        <w:jc w:val="both"/>
        <w:keepNext w:val="0"/>
        <w:keepLines w:val="0"/>
        <w:widowControl w:val="1"/>
      </w:pPr>
      <w:r>
        <w:t xml:space="preserve">The deliberate gaps differ by discipline (a missing fairness criterion in the ethics task, an unstated</w:t>
      </w:r>
      <w:r>
        <w:t xml:space="preserve"> </w:t>
      </w:r>
      <w:r>
        <w:t xml:space="preserve">launch or safety constraint in the physics task, undefined learning objectives in the lesson-plan task),</w:t>
      </w:r>
      <w:r>
        <w:t xml:space="preserve"> </w:t>
      </w:r>
      <w:r>
        <w:t xml:space="preserve">but the learner's work is identical across all of them: specify the task (Framing), evaluate the AI's</w:t>
      </w:r>
      <w:r>
        <w:t xml:space="preserve"> </w:t>
      </w:r>
      <w:r>
        <w:t xml:space="preserve">flawed solution (Judging), and redirect it toward an adequate one (Steering). Full per-discipline session</w:t>
      </w:r>
      <w:r>
        <w:t xml:space="preserve"> </w:t>
      </w:r>
      <w:r>
        <w:t xml:space="preserve">logs ship with the platform.</w:t>
      </w:r>
    </w:p>
    <w:bookmarkEnd w:id="20"/>
    <w:bookmarkEnd w:id="21"/>
    <w:sectPr w:rsidR="00FC693F" w:rsidRPr="0006063C" w:rsidSect="00034616">
      <w:footerReference w:type="default" r:id="rId10"/>
      <w:pgSz w:h="15840" w:w="12240"/>
      <w:pgMar w:bottom="1440" w:footer="720" w:gutter="0" w:header="720" w:left="1440" w:right="1440" w:top="144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spacing w:before="0" w:after="0"/>
      <w:jc w:val="center"/>
    </w:pPr>
    <w:r>
      <w:rPr>
        <w:rFonts w:ascii="Georgia" w:hAnsi="Georgia"/>
        <w:sz w:val="20"/>
      </w:rPr>
      <w:fldChar w:fldCharType="begin"/>
      <w:instrText xml:space="preserve">PAGE</w:instrText>
      <w:fldChar w:fldCharType="separate"/>
      <w:t>1</w:t>
      <w:fldChar w:fldCharType="end"/>
    </w: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  <w:autoHyphenation w:val="true"/>
  <w:doNotHyphenateCaps w:val="false"/>
  <w:consecutiveHyphenLimit w:val="2"/>
  <w:hyphenationZone w:val="2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Next w:val="0"/>
      <w:spacing w:after="0" w:before="0" w:line="276" w:lineRule="auto"/>
    </w:pPr>
    <w:rPr>
      <w:rFonts w:ascii="Georgia" w:hAnsi="Georgia"/>
      <w:b w:val="0"/>
      <w:i w:val="0"/>
      <w:sz w:val="22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120" w:before="240"/>
      <w:outlineLvl w:val="0"/>
    </w:pPr>
    <w:rPr>
      <w:rFonts w:ascii="Georgia" w:asciiTheme="majorHAnsi" w:cstheme="majorBidi" w:eastAsiaTheme="majorEastAsia" w:hAnsi="Georgia" w:hAnsiTheme="majorHAnsi"/>
      <w:b/>
      <w:bCs/>
      <w:i w:val="0"/>
      <w:color w:themeColor="accent1" w:themeShade="BF" w:val="365F91"/>
      <w:sz w:val="28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80" w:before="200"/>
      <w:outlineLvl w:val="1"/>
    </w:pPr>
    <w:rPr>
      <w:rFonts w:ascii="Georgia" w:asciiTheme="majorHAnsi" w:cstheme="majorBidi" w:eastAsiaTheme="majorEastAsia" w:hAnsi="Georgia" w:hAnsiTheme="majorHAnsi"/>
      <w:b/>
      <w:bCs/>
      <w:i w:val="0"/>
      <w:color w:themeColor="accent1" w:val="4F81BD"/>
      <w:sz w:val="24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80" w:before="160"/>
      <w:outlineLvl w:val="2"/>
    </w:pPr>
    <w:rPr>
      <w:rFonts w:ascii="Georgia" w:asciiTheme="majorHAnsi" w:cstheme="majorBidi" w:eastAsiaTheme="majorEastAsia" w:hAnsi="Georgia" w:hAnsiTheme="majorHAnsi"/>
      <w:b/>
      <w:bCs/>
      <w:i w:val="0"/>
      <w:color w:themeColor="accent1" w:val="4F81BD"/>
      <w:sz w:val="22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keepNext w:val="0"/>
      <w:pBdr>
        <w:bottom w:color="4F81BD" w:space="4" w:sz="8" w:themeColor="accent1" w:val="single"/>
      </w:pBdr>
      <w:spacing w:after="160" w:before="0" w:line="240" w:lineRule="auto"/>
      <w:contextualSpacing/>
      <w:jc w:val="center"/>
    </w:pPr>
    <w:rPr>
      <w:rFonts w:ascii="Georgia" w:asciiTheme="majorHAnsi" w:cstheme="majorBidi" w:eastAsiaTheme="majorEastAsia" w:hAnsi="Georgia" w:hAnsiTheme="majorHAnsi"/>
      <w:b/>
      <w:i w:val="0"/>
      <w:color w:themeColor="text2" w:themeShade="BF" w:val="17365D"/>
      <w:spacing w:val="5"/>
      <w:kern w:val="28"/>
      <w:sz w:val="36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keepNext w:val="0"/>
      <w:numPr>
        <w:ilvl w:val="1"/>
      </w:numPr>
      <w:spacing w:after="80" w:before="0"/>
      <w:jc w:val="center"/>
    </w:pPr>
    <w:rPr>
      <w:rFonts w:ascii="Georgia" w:asciiTheme="majorHAnsi" w:cstheme="majorBidi" w:eastAsiaTheme="majorEastAsia" w:hAnsi="Georgia" w:hAnsiTheme="majorHAnsi"/>
      <w:b w:val="0"/>
      <w:i w:val="0"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keepNext w:val="0"/>
      <w:spacing w:after="0" w:before="0" w:line="276" w:lineRule="auto"/>
      <w:ind w:firstLine="360"/>
      <w:jc w:val="both"/>
    </w:pPr>
    <w:rPr>
      <w:rFonts w:ascii="Georgia" w:hAnsi="Georgia"/>
      <w:b w:val="0"/>
      <w:i w:val="0"/>
      <w:sz w:val="22"/>
    </w:r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customStyle="1" w:styleId="FirstParagraph" w:type="paragraph">
    <w:name w:val="First Paragraph"/>
    <w:basedOn w:val="BodyText"/>
    <w:pPr>
      <w:keepNext w:val="0"/>
      <w:spacing w:after="0" w:before="0" w:line="276" w:lineRule="auto"/>
      <w:ind w:firstLine="0"/>
      <w:jc w:val="both"/>
    </w:pPr>
    <w:rPr>
      <w:rFonts w:ascii="Georgia" w:hAnsi="Georgia"/>
      <w:b w:val="0"/>
      <w:i w:val="0"/>
      <w:sz w:val="22"/>
    </w:rPr>
  </w:style>
  <w:style w:customStyle="1" w:styleId="Compact" w:type="paragraph">
    <w:name w:val="Compact"/>
    <w:basedOn w:val="BodyText"/>
    <w:pPr>
      <w:keepNext w:val="0"/>
      <w:spacing w:after="40" w:before="0" w:line="252" w:lineRule="auto"/>
      <w:ind w:left="317" w:hanging="259"/>
      <w:jc w:val="both"/>
    </w:pPr>
    <w:rPr>
      <w:rFonts w:ascii="Georgia" w:hAnsi="Georgia"/>
      <w:b w:val="0"/>
      <w:i w:val="0"/>
      <w:sz w:val="22"/>
    </w:rPr>
  </w:style>
  <w:style w:customStyle="1" w:styleId="AbstractLabel" w:type="paragraph">
    <w:name w:val="Abstract Label"/>
    <w:basedOn w:val="BodyText"/>
    <w:pPr>
      <w:keepNext/>
      <w:spacing w:after="80" w:before="80"/>
      <w:ind w:firstLine="0"/>
      <w:jc w:val="center"/>
    </w:pPr>
    <w:rPr>
      <w:rFonts w:ascii="Georgia" w:hAnsi="Georgia"/>
      <w:b/>
      <w:i w:val="0"/>
      <w:sz w:val="22"/>
    </w:rPr>
  </w:style>
  <w:style w:customStyle="1" w:styleId="Keywords" w:type="paragraph">
    <w:name w:val="Keywords"/>
    <w:basedOn w:val="BodyText"/>
    <w:pPr>
      <w:keepNext w:val="0"/>
      <w:spacing w:after="80" w:before="0"/>
      <w:ind w:firstLine="0"/>
      <w:jc w:val="both"/>
    </w:pPr>
    <w:rPr>
      <w:rFonts w:ascii="Georgia" w:hAnsi="Georgia"/>
      <w:b w:val="0"/>
      <w:i w:val="0"/>
      <w:sz w:val="22"/>
    </w:rPr>
  </w:style>
  <w:style w:customStyle="1" w:styleId="ImageCaption" w:type="paragraph">
    <w:name w:val="Image Caption"/>
    <w:basedOn w:val="BodyText"/>
    <w:pPr>
      <w:keepNext w:val="0"/>
      <w:spacing w:after="120" w:before="80" w:line="240" w:lineRule="auto"/>
      <w:jc w:val="center"/>
    </w:pPr>
    <w:rPr>
      <w:rFonts w:ascii="Georgia" w:hAnsi="Georgia"/>
      <w:b w:val="0"/>
      <w:i/>
      <w:sz w:val="19"/>
    </w:rPr>
  </w:style>
  <w:style w:customStyle="1" w:styleId="TableCaption" w:type="paragraph">
    <w:name w:val="Table Caption"/>
    <w:basedOn w:val="BodyText"/>
    <w:pPr>
      <w:keepNext/>
      <w:spacing w:after="60" w:before="280" w:line="240" w:lineRule="auto"/>
      <w:jc w:val="center"/>
    </w:pPr>
    <w:rPr>
      <w:rFonts w:ascii="Georgia" w:hAnsi="Georgia"/>
      <w:b w:val="0"/>
      <w:i/>
      <w:sz w:val="19"/>
    </w:rPr>
  </w:style>
  <w:style w:customStyle="1" w:styleId="ReferencesHeading" w:type="paragraph">
    <w:name w:val="References Heading"/>
    <w:basedOn w:val="Heading1"/>
    <w:pPr>
      <w:keepNext/>
      <w:spacing w:after="120" w:before="240"/>
    </w:pPr>
    <w:rPr>
      <w:rFonts w:ascii="Georgia" w:hAnsi="Georgia"/>
      <w:b/>
      <w:i w:val="0"/>
      <w:sz w:val="28"/>
    </w:rPr>
  </w:style>
  <w:style w:customStyle="1" w:styleId="ReferenceEntry" w:type="paragraph">
    <w:name w:val="Reference Entry"/>
    <w:basedOn w:val="BodyText"/>
    <w:pPr>
      <w:keepNext w:val="0"/>
      <w:spacing w:after="100" w:before="0" w:line="259" w:lineRule="auto"/>
      <w:ind w:left="475" w:hanging="475"/>
      <w:jc w:val="left"/>
    </w:pPr>
    <w:rPr>
      <w:rFonts w:ascii="Georgia" w:hAnsi="Georgia"/>
      <w:b w:val="0"/>
      <w:i w:val="0"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numbering" Target="numbering.xml"/><Relationship Id="rId7" Type="http://schemas.openxmlformats.org/officeDocument/2006/relationships/styles" Target="styles.xml"/><Relationship Id="rId6" Type="http://schemas.openxmlformats.org/officeDocument/2006/relationships/settings" Target="settings.xml"/><Relationship Id="rId5" Type="http://schemas.openxmlformats.org/officeDocument/2006/relationships/webSettings" Target="webSettings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footnotes" Target="footnotes.xml"/><Relationship Id="rId1" Type="http://schemas.openxmlformats.org/officeDocument/2006/relationships/comments" Target="comments.xml"/><Relationship Id="rId15" Type="http://schemas.openxmlformats.org/officeDocument/2006/relationships/image" Target="media/rId15.png"/><Relationship Id="rId9" Type="http://schemas.openxmlformats.org/officeDocument/2006/relationships/image" Target="media/rId9.png"/><Relationship Id="rId12" Type="http://schemas.openxmlformats.org/officeDocument/2006/relationships/image" Target="media/rId1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language>en</dc:language>
  <cp:keywords/>
  <dcterms:created xsi:type="dcterms:W3CDTF">2026-07-07T09:09:07Z</dcterms:created>
  <dcterms:modified xsi:type="dcterms:W3CDTF">2026-07-07T09:09:07Z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iewport">
    <vt:lpwstr>width=device-width, initial-scale=1.0</vt:lpwstr>
  </property>
</Properties>
</file>