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July 2026</w:t>
      </w:r>
    </w:p>
    <w:p>
      <w:pPr>
        <w:pStyle w:val="BodyText"/>
      </w:pPr>
      <w:r>
        <w:t xml:space="preserve">Dear Editors,</w:t>
      </w:r>
    </w:p>
    <w:p>
      <w:pPr>
        <w:pStyle w:val="BodyText"/>
      </w:pPr>
      <w:r>
        <w:t xml:space="preserve">We are pleased to submit our manuscript,</w:t>
      </w:r>
      <w:r>
        <w:t xml:space="preserve"> </w:t>
      </w:r>
      <w:r>
        <w:rPr>
          <w:b/>
          <w:bCs/>
        </w:rPr>
        <w:t xml:space="preserve">“Beyond Prompting: Framing, Judging, and Steering as Assessable Competencies for Reasoning With Generative AI in Higher Education,”</w:t>
      </w:r>
      <w:r>
        <w:t xml:space="preserve"> </w:t>
      </w:r>
      <w:r>
        <w:t xml:space="preserve">for consideration as a</w:t>
      </w:r>
      <w:r>
        <w:t xml:space="preserve"> </w:t>
      </w:r>
      <w:r>
        <w:rPr>
          <w:b/>
          <w:bCs/>
        </w:rPr>
        <w:t xml:space="preserve">Research Article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International Journal of Educational Technology in Higher Education</w:t>
      </w:r>
      <w:r>
        <w:t xml:space="preserve">.</w:t>
      </w:r>
    </w:p>
    <w:p>
      <w:pPr>
        <w:pStyle w:val="BodyText"/>
      </w:pPr>
      <w:r>
        <w:t xml:space="preserve">As students increasingly turn to generative AI, higher education needs to assess not whether a student can produce an answer, but how well they reason with a fallible machine. Our manuscript proposes</w:t>
      </w:r>
      <w:r>
        <w:t xml:space="preserve"> </w:t>
      </w:r>
      <w:r>
        <w:rPr>
          <w:b/>
          <w:bCs/>
        </w:rPr>
        <w:t xml:space="preserve">CoRe-3</w:t>
      </w:r>
      <w:r>
        <w:t xml:space="preserve">, a competency model that decomposes this ability into three teachable, independently assessable skills,</w:t>
      </w:r>
      <w:r>
        <w:t xml:space="preserve"> </w:t>
      </w:r>
      <w:r>
        <w:rPr>
          <w:b/>
          <w:bCs/>
        </w:rPr>
        <w:t xml:space="preserve">Framing, Judging, and Steering</w:t>
      </w:r>
      <w:r>
        <w:t xml:space="preserve">, grounded in learning theory. It gives instructors a diagnostic, discipline-general instrument that scores each skill separately, released as an open platform they can use in their own courses.</w:t>
      </w:r>
    </w:p>
    <w:p>
      <w:pPr>
        <w:pStyle w:val="BodyText"/>
      </w:pPr>
      <w:r>
        <w:t xml:space="preserve">The work fits the journal’s scope in AI literacy, competency assessment, and self-regulated learning in higher education. To our knowledge, it is the first framework to separate the skills a student exercises before and after a model generates, and to demonstrate that these skills can be measured apart.</w:t>
      </w:r>
    </w:p>
    <w:p>
      <w:pPr>
        <w:pStyle w:val="BodyText"/>
      </w:pPr>
      <w:r>
        <w:t xml:space="preserve">We confirm that the manuscript is original, has not been published previously, and is not under consideration elsewhere; that both authors approve its submission; that the study involves no human participants; and that the authors have no competing interests. The manuscript and its additional file are anonymized for double-anonymous review.</w:t>
      </w:r>
    </w:p>
    <w:p>
      <w:pPr>
        <w:pStyle w:val="BodyText"/>
      </w:pPr>
      <w:r>
        <w:t xml:space="preserve">Thank you for considering our submission.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/>
          <w:bCs/>
        </w:rPr>
        <w:t xml:space="preserve">Alexander Apartsin</w:t>
      </w:r>
      <w:r>
        <w:t xml:space="preserve">, Holon Institute of Technology</w:t>
      </w:r>
      <w:r>
        <w:t xml:space="preserve"> </w:t>
      </w:r>
      <w:r>
        <w:rPr>
          <w:b/>
          <w:bCs/>
        </w:rPr>
        <w:t xml:space="preserve">Dr. Yehudit Aperstein</w:t>
      </w:r>
      <w:r>
        <w:t xml:space="preserve"> </w:t>
      </w:r>
      <w:r>
        <w:t xml:space="preserve">(corresponding author), Afeka College of Engineering. Email: apersteiny@afeka.ac.il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2026-07-07T11:03:10Z</dcterms:created>
  <dcterms:modified xsi:type="dcterms:W3CDTF">2026-07-07T11:03:10Z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