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X802fd80df72a8374afe940d19691278ee456611"/>
    <w:p>
      <w:pPr>
        <w:pStyle w:val="Title"/>
        <w:spacing w:before="0" w:after="160"/>
        <w:jc w:val="center"/>
        <w:keepNext/>
        <w:keepLines/>
        <w:widowControl w:val="1"/>
      </w:pPr>
      <w:r>
        <w:t xml:space="preserve">Beyond Prompting: Framing, Judging, and Steering as Assessable Competencies for Reasoning With Generative AI in Higher Education</w:t>
      </w:r>
    </w:p>
    <w:p>
      <w:pPr>
        <w:pStyle w:val="Subtitle"/>
        <w:spacing w:before="0" w:after="40"/>
        <w:jc w:val="center"/>
        <w:keepNext/>
        <w:keepLines/>
        <w:widowControl w:val="1"/>
      </w:pPr>
      <w:r>
        <w:rPr>
          <w:rFonts w:ascii="Times New Roman" w:hAnsi="Times New Roman"/>
          <w:b/>
          <w:i w:val="0"/>
          <w:iCs/>
          <w:sz w:val="24"/>
        </w:rPr>
        <w:t xml:space="preserve">[Author names and affiliations withheld for anonymous review]</w:t>
      </w:r>
    </w:p>
    <w:bookmarkStart w:id="9" w:name="abstract"/>
    <w:p>
      <w:pPr>
        <w:pStyle w:val="AbstractLabel"/>
        <w:jc w:val="center"/>
        <w:keepNext/>
        <w:keepLines/>
        <w:widowControl w:val="1"/>
      </w:pPr>
      <w:r>
        <w:t xml:space="preserve">Abstract</w:t>
      </w:r>
    </w:p>
    <w:p>
      <w:pPr>
        <w:pStyle w:val="FirstParagraph"/>
        <w:ind w:left="720" w:right="720" w:firstLine="0"/>
        <w:jc w:val="both"/>
        <w:keepNext w:val="0"/>
        <w:keepLines w:val="0"/>
        <w:widowControl w:val="1"/>
      </w:pPr>
      <w:r>
        <w:t xml:space="preserve">Generative AI makes answers cheap and understanding scarce: students can now produce fluent work without the thinking a degree should develop. The competency that matters is no longer solving a problem unaided but working well with a fallible machine. Yet this ability is rarely assessed on its own; where measured, it collapses into a single "prompting" score that cannot say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AI use succeeded or failed. We propose CoRe-3 (Co-Reasoning), a competency model that factors productive AI use into three assessable skills, abbreviated FJS: Framing (structuring the task before invoking AI), Judging (evaluating the output), and Steering (redirecting the model). Its distinguishing claim is the separation of pre-generation Framing from post-generation Steering, with Judging as the gate between. We ground the skills in metacognition and self-regulated learning theory, state five testable propositions, and instantiate them in an open platform that scores each skill independently. Over simulated learners of controlled competence, graded by a different model from a different vendor and with the free-text skills scored blind to the intended competence, the three grades dissociate: each tracks its own manipulated skill while staying flat in the others, and correlate only when one ability is shared across all three, the convergent-and-discriminant signature of a valid measure. We release the instrument, the data, and a runnable human-rater protocol, positioning this as the construct-separability stage of a validity program whose human-agreement and efficacy stages are specified and ready to run.</w:t>
      </w:r>
    </w:p>
    <w:bookmarkEnd w:id="9"/>
    <w:p>
      <w:pPr>
        <w:pStyle w:val="Keywords"/>
        <w:jc w:val="both"/>
        <w:keepNext w:val="0"/>
        <w:keepLines w:val="0"/>
        <w:widowControl w:val="1"/>
      </w:pPr>
      <w:r>
        <w:rPr>
          <w:b/>
          <w:bCs/>
        </w:rPr>
        <w:t xml:space="preserve">Keywords:</w:t>
      </w:r>
      <w:r>
        <w:t xml:space="preserve"> </w:t>
      </w:r>
      <w:r>
        <w:t xml:space="preserve">generative AI; AI literacy; competency assessment; metacognition; self-regulated learning; higher education</w:t>
      </w:r>
    </w:p>
    <w:bookmarkStart w:id="13" w:name="Xe3d0fc0bea9a42ce7605565d0964033d7f6ee47"/>
    <w:p>
      <w:pPr>
        <w:pStyle w:val="Heading2"/>
        <w:keepNext/>
        <w:keepLines/>
        <w:widowControl w:val="1"/>
      </w:pPr>
      <w:r>
        <w:t xml:space="preserve">1. Introduction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Most tools bringing generative AI into higher education optimize for the wrong variable. They shorten the path from question to</w:t>
      </w:r>
      <w:r>
        <w:t xml:space="preserve"> </w:t>
      </w:r>
      <w:r>
        <w:t xml:space="preserve">answer, when the answer was never the point of a university education. The cognitive work of specifying a problem,</w:t>
      </w:r>
      <w:r>
        <w:t xml:space="preserve"> </w:t>
      </w:r>
      <w:r>
        <w:t xml:space="preserve">evaluating a candidate solution, and improving it is where learning happens; when that work is</w:t>
      </w:r>
      <w:r>
        <w:t xml:space="preserve"> </w:t>
      </w:r>
      <w:r>
        <w:t xml:space="preserve">delegated wholesale to a machine, the learner walks away with a correct artifact and an unchanged mind.</w:t>
      </w:r>
      <w:r>
        <w:t xml:space="preserve"> </w:t>
      </w:r>
      <w:r>
        <w:t xml:space="preserve">The educational opportunity of generative AI is therefore not to deliver answers faster, but to make</w:t>
      </w:r>
      <w:r>
        <w:t xml:space="preserve"> </w:t>
      </w:r>
      <w:r>
        <w:t xml:space="preserve">the reasoning around them visible, practiced, and assessable.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Recent evidence makes the stakes concrete. Frequent, uncritical AI use correlates with lower</w:t>
      </w:r>
      <w:r>
        <w:t xml:space="preserve"> </w:t>
      </w:r>
      <w:r>
        <w:t xml:space="preserve">critical-thinking performance, an effect mediated by cognitive offloading and most pronounced in</w:t>
      </w:r>
      <w:r>
        <w:t xml:space="preserve"> </w:t>
      </w:r>
      <w:r>
        <w:t xml:space="preserve">younger users (Gerlich, 2025). Controlled studies of AI-assisted writing report "metacognitive</w:t>
      </w:r>
      <w:r>
        <w:t xml:space="preserve"> </w:t>
      </w:r>
      <w:r>
        <w:t xml:space="preserve">laziness," in which learners bypass the self-regulatory processes of diagnosing, evaluating, and</w:t>
      </w:r>
      <w:r>
        <w:t xml:space="preserve"> </w:t>
      </w:r>
      <w:r>
        <w:t xml:space="preserve">revising (Fan et al., 2025), and neurophysiological work describes an accumulation</w:t>
      </w:r>
      <w:r>
        <w:t xml:space="preserve"> </w:t>
      </w:r>
      <w:r>
        <w:t xml:space="preserve">of "cognitive debt" when an assistant carries the reasoning load (Kosmyna et al., 2025).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At the same time, field studies of professional AI use show that the benefit of AI is sharply conditional on the</w:t>
      </w:r>
      <w:r>
        <w:t xml:space="preserve"> </w:t>
      </w:r>
      <w:r>
        <w:t xml:space="preserve">user's skill in directing it: assistance helps inside a model's competence frontier and</w:t>
      </w:r>
      <w:r>
        <w:t xml:space="preserve"> </w:t>
      </w:r>
      <w:r>
        <w:rPr>
          <w:i/>
          <w:iCs/>
        </w:rPr>
        <w:t xml:space="preserve">harms</w:t>
      </w:r>
      <w:r>
        <w:t xml:space="preserve"> </w:t>
      </w:r>
      <w:r>
        <w:t xml:space="preserve">outside it (Dell'Acqua et al., 2023), and the most effective users adopt an iterative, critical</w:t>
      </w:r>
      <w:r>
        <w:t xml:space="preserve"> </w:t>
      </w:r>
      <w:r>
        <w:t xml:space="preserve">"push-back-and-validate" mode rather than wholesale delegation (Randazzo et al., 2025). Meta-analytic</w:t>
      </w:r>
      <w:r>
        <w:t xml:space="preserve"> </w:t>
      </w:r>
      <w:r>
        <w:t xml:space="preserve">evidence underscores the stakes: human-AI teams frequently underperform the better of the human or the</w:t>
      </w:r>
      <w:r>
        <w:t xml:space="preserve"> </w:t>
      </w:r>
      <w:r>
        <w:t xml:space="preserve">AI alone (Vaccaro et al., 2024), which makes the human's skill in directing the system, not mere access</w:t>
      </w:r>
      <w:r>
        <w:t xml:space="preserve"> </w:t>
      </w:r>
      <w:r>
        <w:t xml:space="preserve">to it, the decisive variable. Direct behavioral evidence sharpens the point: across 16,851 real</w:t>
      </w:r>
      <w:r>
        <w:t xml:space="preserve"> </w:t>
      </w:r>
      <w:r>
        <w:t xml:space="preserve">student-ChatGPT interactions from a university course (McNichols et al., 2025), students' moves are</w:t>
      </w:r>
      <w:r>
        <w:t xml:space="preserve"> </w:t>
      </w:r>
      <w:r>
        <w:t xml:space="preserve">dominated by framing-type queries, while explicit verification of the AI's output (about 4% of</w:t>
      </w:r>
      <w:r>
        <w:t xml:space="preserve"> </w:t>
      </w:r>
      <w:r>
        <w:t xml:space="preserve">interactions) and corrective editing (about 2.5%) are rare. This is the very under-judging and</w:t>
      </w:r>
      <w:r>
        <w:t xml:space="preserve"> </w:t>
      </w:r>
      <w:r>
        <w:t xml:space="preserve">under-steering a competency model must target.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These findings share a structure. The difference between productive and counterproductive AI use is</w:t>
      </w:r>
      <w:r>
        <w:t xml:space="preserve"> </w:t>
      </w:r>
      <w:r>
        <w:t xml:space="preserve">not access to AI; it is a</w:t>
      </w:r>
      <w:r>
        <w:t xml:space="preserve"> </w:t>
      </w:r>
      <w:r>
        <w:rPr>
          <w:i/>
          <w:iCs/>
        </w:rPr>
        <w:t xml:space="preserve">competency</w:t>
      </w:r>
      <w:r>
        <w:t xml:space="preserve"> </w:t>
      </w:r>
      <w:r>
        <w:t xml:space="preserve">that some learners exercise and others do not. This echoes the</w:t>
      </w:r>
      <w:r>
        <w:t xml:space="preserve"> </w:t>
      </w:r>
      <w:r>
        <w:t xml:space="preserve">long-standing distinction between the effects obtained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a technology during use and the cognitive</w:t>
      </w:r>
      <w:r>
        <w:t xml:space="preserve"> </w:t>
      </w:r>
      <w:r>
        <w:t xml:space="preserve">residue left</w:t>
      </w:r>
      <w:r>
        <w:t xml:space="preserve"> </w:t>
      </w:r>
      <w:r>
        <w:rPr>
          <w:i/>
          <w:iCs/>
        </w:rPr>
        <w:t xml:space="preserve">of</w:t>
      </w:r>
      <w:r>
        <w:t xml:space="preserve"> </w:t>
      </w:r>
      <w:r>
        <w:t xml:space="preserve">it, which depends on the learner's mindful engagement in the partnership</w:t>
      </w:r>
      <w:r>
        <w:t xml:space="preserve"> </w:t>
      </w:r>
      <w:r>
        <w:t xml:space="preserve">(Salomon et al., 1991). If that</w:t>
      </w:r>
      <w:r>
        <w:t xml:space="preserve"> </w:t>
      </w:r>
      <w:r>
        <w:t xml:space="preserve">competency can be named and decomposed, it can be taught and assessed. Current AI-literacy assessment</w:t>
      </w:r>
      <w:r>
        <w:t xml:space="preserve"> </w:t>
      </w:r>
      <w:r>
        <w:t xml:space="preserve">can often tell us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a learner's AI use is unproductive but not</w:t>
      </w:r>
      <w:r>
        <w:t xml:space="preserve"> </w:t>
      </w:r>
      <w:r>
        <w:rPr>
          <w:i/>
          <w:iCs/>
        </w:rPr>
        <w:t xml:space="preserve">why</w:t>
      </w:r>
      <w:r>
        <w:t xml:space="preserve">: whether they specified the</w:t>
      </w:r>
      <w:r>
        <w:t xml:space="preserve"> </w:t>
      </w:r>
      <w:r>
        <w:t xml:space="preserve">task badly, failed to detect the flaws in the output, or knew the flaws but could not correct them.</w:t>
      </w:r>
      <w:r>
        <w:t xml:space="preserve"> </w:t>
      </w:r>
      <w:r>
        <w:t xml:space="preserve">These are different failures with different remedies, and a single "prompting" score conflates them.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This trajectory is not transient, and that is what raises the stakes for assessment. As models absorb</w:t>
      </w:r>
      <w:r>
        <w:t xml:space="preserve"> </w:t>
      </w:r>
      <w:r>
        <w:t xml:space="preserve">more of the execution, the human contribution concentrates in the operations a system cannot perform on</w:t>
      </w:r>
      <w:r>
        <w:t xml:space="preserve"> </w:t>
      </w:r>
      <w:r>
        <w:t xml:space="preserve">its own behalf: specifying which problem is worth solving, judging whether a fluent output is right, and</w:t>
      </w:r>
      <w:r>
        <w:t xml:space="preserve"> </w:t>
      </w:r>
      <w:r>
        <w:t xml:space="preserve">redirecting the model when it is not. Field evidence that AI's value is conditional on the user's skill</w:t>
      </w:r>
      <w:r>
        <w:t xml:space="preserve"> </w:t>
      </w:r>
      <w:r>
        <w:t xml:space="preserve">(Dell'Acqua et al., 2023; Vaccaro et al., 2024) implies this conditioning tightens as systems improve,</w:t>
      </w:r>
      <w:r>
        <w:t xml:space="preserve"> </w:t>
      </w:r>
      <w:r>
        <w:t xml:space="preserve">so the durable, assessable skill shifts from executing a task to framing, judging, and steering it</w:t>
      </w:r>
      <w:r>
        <w:t xml:space="preserve"> </w:t>
      </w:r>
      <w:r>
        <w:t xml:space="preserve">(Acar, 2023; Denny et al., 2024; see Figure 1). An assessment that still measures unaided execution</w:t>
      </w:r>
      <w:r>
        <w:t xml:space="preserve"> </w:t>
      </w:r>
      <w:r>
        <w:t xml:space="preserve">therefore measures a shrinking part of what competent work will require.</w:t>
      </w:r>
    </w:p>
    <w:p>
      <w:pPr>
        <w:pStyle w:val="BodyText"/>
        <w:jc w:val="center"/>
        <w:keepNext/>
        <w:keepLines/>
        <w:widowControl w:val="1"/>
      </w:pPr>
      <w:r>
        <w:drawing>
          <wp:inline>
            <wp:extent cx="5943600" cy="3040911"/>
            <wp:effectExtent b="0" l="0" r="0" t="0"/>
            <wp:docPr descr="Figure 1. As model capability rises, the human contribution concentrates in Framing, Judging, and Steering." title="" id="11" name="Picture"/>
            <a:graphic>
              <a:graphicData uri="http://schemas.openxmlformats.org/drawingml/2006/picture">
                <pic:pic>
                  <pic:nvPicPr>
                    <pic:cNvPr descr="E:/tmp/html2doc_svg_ahIjPU/svg_0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1 (schematic).</w:t>
      </w:r>
      <w:r>
        <w:rPr>
          <w:b w:val="0"/>
          <w:i/>
        </w:rPr>
        <w:t xml:space="preserve"> </w:t>
      </w:r>
      <w:r>
        <w:rPr>
          <w:b w:val="0"/>
          <w:i/>
        </w:rPr>
        <w:t>As models absorb more of the execution, the part of a task a competent person must still own shifts from doing the work toward framing, judging, and steering it; the axes are conceptual, not quantitative. CoRe-3 is a decomposition and assessment of that shifting contribution.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We propose</w:t>
      </w:r>
      <w:r>
        <w:t xml:space="preserve"> </w:t>
      </w:r>
      <w:r>
        <w:rPr>
          <w:b/>
          <w:bCs/>
        </w:rPr>
        <w:t xml:space="preserve">CoRe-3</w:t>
      </w:r>
      <w:r>
        <w:t xml:space="preserve"> </w:t>
      </w:r>
      <w:r>
        <w:t xml:space="preserve">(Co-Reasoning), a competency model that decomposes productive work with generative AI into</w:t>
      </w:r>
      <w:r>
        <w:t xml:space="preserve"> </w:t>
      </w:r>
      <w:r>
        <w:t xml:space="preserve">three distinct skills, each independently assessable and collectively abbreviated</w:t>
      </w:r>
      <w:r>
        <w:t xml:space="preserve"> </w:t>
      </w:r>
      <w:r>
        <w:rPr>
          <w:b/>
          <w:bCs/>
        </w:rPr>
        <w:t xml:space="preserve">FJS</w:t>
      </w:r>
      <w:r>
        <w:t xml:space="preserve">: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Framing.</w:t>
      </w:r>
      <w:r>
        <w:t xml:space="preserve"> </w:t>
      </w:r>
      <w:r>
        <w:t xml:space="preserve">Before invoking the AI, transform an ill-defined problem into a well-specified task:</w:t>
      </w:r>
      <w:r>
        <w:t xml:space="preserve"> </w:t>
      </w:r>
      <w:r>
        <w:t xml:space="preserve">surface unstated assumptions, fix constraints and scope, and define what an adequate solution must</w:t>
      </w:r>
      <w:r>
        <w:t xml:space="preserve"> </w:t>
      </w:r>
      <w:r>
        <w:t xml:space="preserve">satisfy. Framing is a problem-structuring skill exercised</w:t>
      </w:r>
      <w:r>
        <w:t xml:space="preserve"> </w:t>
      </w:r>
      <w:r>
        <w:rPr>
          <w:i/>
          <w:iCs/>
        </w:rPr>
        <w:t xml:space="preserve">prior to</w:t>
      </w:r>
      <w:r>
        <w:t xml:space="preserve"> </w:t>
      </w:r>
      <w:r>
        <w:t xml:space="preserve">generation.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Judging.</w:t>
      </w:r>
      <w:r>
        <w:t xml:space="preserve"> </w:t>
      </w:r>
      <w:r>
        <w:t xml:space="preserve">Given AI output, critically evaluate it as a knowledge claim: detect factual and</w:t>
      </w:r>
      <w:r>
        <w:t xml:space="preserve"> </w:t>
      </w:r>
      <w:r>
        <w:t xml:space="preserve">logical errors, missing edge cases, unstated assumptions, and risks, and calibrate how far to rely</w:t>
      </w:r>
      <w:r>
        <w:t xml:space="preserve"> </w:t>
      </w:r>
      <w:r>
        <w:t xml:space="preserve">on it. Judging is an evaluative, epistemic skill.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Steering.</w:t>
      </w:r>
      <w:r>
        <w:t xml:space="preserve"> </w:t>
      </w:r>
      <w:r>
        <w:t xml:space="preserve">Across one or more cycles, issue targeted corrective feedback that moves the AI's</w:t>
      </w:r>
      <w:r>
        <w:t xml:space="preserve"> </w:t>
      </w:r>
      <w:r>
        <w:t xml:space="preserve">output measurably closer to an adequate solution. Steering is a control skill exercised</w:t>
      </w:r>
      <w:r>
        <w:t xml:space="preserve"> </w:t>
      </w:r>
      <w:r>
        <w:rPr>
          <w:i/>
          <w:iCs/>
        </w:rPr>
        <w:t xml:space="preserve">after</w:t>
      </w:r>
      <w:r>
        <w:t xml:space="preserve"> </w:t>
      </w:r>
      <w:r>
        <w:t xml:space="preserve">generation, in a loop with Judging.</w:t>
      </w:r>
    </w:p>
    <w:p>
      <w:pPr>
        <w:pStyle w:val="FirstParagraph"/>
        <w:jc w:val="both"/>
        <w:keepNext w:val="0"/>
        <w:keepLines w:val="0"/>
        <w:widowControl w:val="1"/>
      </w:pPr>
      <w:r>
        <w:rPr>
          <w:b/>
          <w:bCs/>
        </w:rPr>
        <w:t xml:space="preserve">Contributions.</w:t>
      </w:r>
      <w:r>
        <w:t xml:space="preserve"> </w:t>
      </w:r>
      <w:r>
        <w:t xml:space="preserve">This paper makes the following contributions, spanning a theoretical framework and its novelty positioning (1-4), a feasibility demonstration (5), and a released artifact and protocol (6):</w:t>
      </w:r>
    </w:p>
    <w:p>
      <w:pPr>
        <w:pStyle w:val="Compact"/>
        <w:numPr>
          <w:ilvl w:val="0"/>
          <w:numId w:val="1002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A competency model</w:t>
      </w:r>
      <w:r>
        <w:t xml:space="preserve"> </w:t>
      </w:r>
      <w:r>
        <w:t xml:space="preserve">that decomposes productive work with generative AI into three temporally and</w:t>
      </w:r>
      <w:r>
        <w:t xml:space="preserve"> </w:t>
      </w:r>
      <w:r>
        <w:t xml:space="preserve">cognitively distinct, independently-assessable skills (Framing, Judging, and Steering), whose</w:t>
      </w:r>
      <w:r>
        <w:t xml:space="preserve"> </w:t>
      </w:r>
      <w:r>
        <w:t xml:space="preserve">defining novelty is the separation of the pre-generation skill (Framing) from the post-generation</w:t>
      </w:r>
      <w:r>
        <w:t xml:space="preserve"> </w:t>
      </w:r>
      <w:r>
        <w:t xml:space="preserve">corrective skill (Steering) that prior frameworks fuse.</w:t>
      </w:r>
    </w:p>
    <w:p>
      <w:pPr>
        <w:pStyle w:val="Compact"/>
        <w:numPr>
          <w:ilvl w:val="0"/>
          <w:numId w:val="1002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A theoretical grounding</w:t>
      </w:r>
      <w:r>
        <w:t xml:space="preserve"> </w:t>
      </w:r>
      <w:r>
        <w:t xml:space="preserve">that maps each skill to established theory (metacognitive monitoring and</w:t>
      </w:r>
      <w:r>
        <w:t xml:space="preserve"> </w:t>
      </w:r>
      <w:r>
        <w:t xml:space="preserve">control, self-regulated learning, epistemic vigilance and critical thinking, productive struggle)</w:t>
      </w:r>
      <w:r>
        <w:t xml:space="preserve"> </w:t>
      </w:r>
      <w:r>
        <w:t xml:space="preserve">under a single unifying monitor-control architecture, so each skill carries an explicit theoretical</w:t>
      </w:r>
      <w:r>
        <w:t xml:space="preserve"> </w:t>
      </w:r>
      <w:r>
        <w:t xml:space="preserve">warrant.</w:t>
      </w:r>
    </w:p>
    <w:p>
      <w:pPr>
        <w:pStyle w:val="Compact"/>
        <w:numPr>
          <w:ilvl w:val="0"/>
          <w:numId w:val="1002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Five testable propositions</w:t>
      </w:r>
      <w:r>
        <w:t xml:space="preserve"> </w:t>
      </w:r>
      <w:r>
        <w:t xml:space="preserve">about how the skills relate (framing gates the loop; judging gates</w:t>
      </w:r>
      <w:r>
        <w:t xml:space="preserve"> </w:t>
      </w:r>
      <w:r>
        <w:t xml:space="preserve">steering; the skills dissociate; judging transfers less than framing; the model inverts cognitive</w:t>
      </w:r>
      <w:r>
        <w:t xml:space="preserve"> </w:t>
      </w:r>
      <w:r>
        <w:t xml:space="preserve">offloading), proposing new relationships among the constructs (Gilson &amp; Goldberg, 2015;</w:t>
      </w:r>
      <w:r>
        <w:t xml:space="preserve"> </w:t>
      </w:r>
      <w:r>
        <w:t xml:space="preserve">Jaakkola, 2020).</w:t>
      </w:r>
    </w:p>
    <w:p>
      <w:pPr>
        <w:pStyle w:val="Compact"/>
        <w:numPr>
          <w:ilvl w:val="0"/>
          <w:numId w:val="1002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A precise novelty positioning</w:t>
      </w:r>
      <w:r>
        <w:t xml:space="preserve"> </w:t>
      </w:r>
      <w:r>
        <w:t xml:space="preserve">against the nearest prior frameworks (AI-fluency, metacognitive-</w:t>
      </w:r>
      <w:r>
        <w:t xml:space="preserve"> </w:t>
      </w:r>
      <w:r>
        <w:t xml:space="preserve">demands, prompt-literacy, and AI-literacy models), delineating what the model contributes beyond each.</w:t>
      </w:r>
    </w:p>
    <w:p>
      <w:pPr>
        <w:pStyle w:val="Compact"/>
        <w:numPr>
          <w:ilvl w:val="0"/>
          <w:numId w:val="1002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An instrument and feasibility demonstration</w:t>
      </w:r>
      <w:r>
        <w:t xml:space="preserve"> </w:t>
      </w:r>
      <w:r>
        <w:t xml:space="preserve">showing that the three skills can be</w:t>
      </w:r>
      <w:r>
        <w:t xml:space="preserve"> </w:t>
      </w:r>
      <w:r>
        <w:t xml:space="preserve">scored automatically, with a multitrait-multimethod validity analysis (three grader backends across</w:t>
      </w:r>
      <w:r>
        <w:t xml:space="preserve"> </w:t>
      </w:r>
      <w:r>
        <w:t xml:space="preserve">two vendors; shared- versus independent-competence populations) giving convergent and discriminant</w:t>
      </w:r>
      <w:r>
        <w:t xml:space="preserve"> </w:t>
      </w:r>
      <w:r>
        <w:t xml:space="preserve">evidence that the three skills are separately measurable and genuinely distinct.</w:t>
      </w:r>
    </w:p>
    <w:p>
      <w:pPr>
        <w:pStyle w:val="Compact"/>
        <w:numPr>
          <w:ilvl w:val="0"/>
          <w:numId w:val="1002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A released, runnable validation package</w:t>
      </w:r>
      <w:r>
        <w:t xml:space="preserve">: the assessment instrument, the experiment data, a</w:t>
      </w:r>
      <w:r>
        <w:t xml:space="preserve"> </w:t>
      </w:r>
      <w:r>
        <w:t xml:space="preserve">scoring codebook, per-rater task files with hidden ground truth, and seed-fixed agreement-scoring</w:t>
      </w:r>
      <w:r>
        <w:t xml:space="preserve"> </w:t>
      </w:r>
      <w:r>
        <w:t xml:space="preserve">scripts, so the human-agreement study is executable on rater recruitment alone, not a methodological</w:t>
      </w:r>
      <w:r>
        <w:t xml:space="preserve"> </w:t>
      </w:r>
      <w:r>
        <w:t xml:space="preserve">sketch.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Following the argument-based validity tradition (Kane, 2013; Messick, 1995), instrument development</w:t>
      </w:r>
      <w:r>
        <w:t xml:space="preserve"> </w:t>
      </w:r>
      <w:r>
        <w:t xml:space="preserve">proceeds in stages: a measure must first separate the constructs it claims to measure before</w:t>
      </w:r>
      <w:r>
        <w:t xml:space="preserve"> </w:t>
      </w:r>
      <w:r>
        <w:t xml:space="preserve">human-agreement and outcome evidence are warranted. This paper delivers that prerequisite stage,</w:t>
      </w:r>
      <w:r>
        <w:t xml:space="preserve"> </w:t>
      </w:r>
      <w:r>
        <w:t xml:space="preserve">construct separability and automated measurability, with a released, runnable protocol for the</w:t>
      </w:r>
      <w:r>
        <w:t xml:space="preserve"> </w:t>
      </w:r>
      <w:r>
        <w:t xml:space="preserve">human-agreement stage that follows (Section 9.3).</w:t>
      </w:r>
    </w:p>
    <w:bookmarkEnd w:id="13"/>
    <w:bookmarkStart w:id="14" w:name="Xc80aad60eb1ce9c76f3f6e8ebe48a2f3b3f278b"/>
    <w:p>
      <w:pPr>
        <w:pStyle w:val="Heading2"/>
        <w:keepNext/>
        <w:keepLines/>
        <w:widowControl w:val="1"/>
      </w:pPr>
      <w:r>
        <w:t xml:space="preserve">2. The problem with current AI-literacy assessment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Existing instruments for assessing how university students work with AI are not wrong so much as</w:t>
      </w:r>
      <w:r>
        <w:t xml:space="preserve"> </w:t>
      </w:r>
      <w:r>
        <w:t xml:space="preserve">under-resolved. Knowledge-oriented frameworks such as Long and Magerko (2020) and the UNESCO (2024)</w:t>
      </w:r>
      <w:r>
        <w:t xml:space="preserve"> </w:t>
      </w:r>
      <w:r>
        <w:t xml:space="preserve">student competency framework define AI literacy chiefly as</w:t>
      </w:r>
      <w:r>
        <w:t xml:space="preserve"> </w:t>
      </w:r>
      <w:r>
        <w:rPr>
          <w:i/>
          <w:iCs/>
        </w:rPr>
        <w:t xml:space="preserve">understanding AI systems</w:t>
      </w:r>
      <w:r>
        <w:t xml:space="preserve">: what AI is,</w:t>
      </w:r>
      <w:r>
        <w:t xml:space="preserve"> </w:t>
      </w:r>
      <w:r>
        <w:t xml:space="preserve">what it can and cannot do, how it works, and how it should be governed. These are necessary, but they</w:t>
      </w:r>
      <w:r>
        <w:t xml:space="preserve"> </w:t>
      </w:r>
      <w:r>
        <w:t xml:space="preserve">say little about the</w:t>
      </w:r>
      <w:r>
        <w:t xml:space="preserve"> </w:t>
      </w:r>
      <w:r>
        <w:rPr>
          <w:i/>
          <w:iCs/>
        </w:rPr>
        <w:t xml:space="preserve">performance</w:t>
      </w:r>
      <w:r>
        <w:t xml:space="preserve"> </w:t>
      </w:r>
      <w:r>
        <w:t xml:space="preserve">of working with a model on a task. Prompt-literacy and</w:t>
      </w:r>
      <w:r>
        <w:t xml:space="preserve"> </w:t>
      </w:r>
      <w:r>
        <w:t xml:space="preserve">generative-AI-literacy models (Lo, 2023; Annapureddy et al., 2024) move closer to performance, but</w:t>
      </w:r>
      <w:r>
        <w:t xml:space="preserve"> </w:t>
      </w:r>
      <w:r>
        <w:t xml:space="preserve">they bundle task specification and iterative refinement into a single "prompting" competency and treat</w:t>
      </w:r>
      <w:r>
        <w:t xml:space="preserve"> </w:t>
      </w:r>
      <w:r>
        <w:t xml:space="preserve">evaluation of the output as a downstream check rather than a co-equal skill.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The cost of this coarse resolution is diagnostic. When a learner's AI use produces a poor result, a</w:t>
      </w:r>
      <w:r>
        <w:t xml:space="preserve"> </w:t>
      </w:r>
      <w:r>
        <w:t xml:space="preserve">single prompting score cannot tell an instructor</w:t>
      </w:r>
      <w:r>
        <w:t xml:space="preserve"> </w:t>
      </w:r>
      <w:r>
        <w:rPr>
          <w:i/>
          <w:iCs/>
        </w:rPr>
        <w:t xml:space="preserve">which</w:t>
      </w:r>
      <w:r>
        <w:t xml:space="preserve"> </w:t>
      </w:r>
      <w:r>
        <w:t xml:space="preserve">cognitive operation failed: did the learner</w:t>
      </w:r>
      <w:r>
        <w:t xml:space="preserve"> </w:t>
      </w:r>
      <w:r>
        <w:t xml:space="preserve">specify the task badly, so that the model solved the wrong problem; did they fail to detect the flaws</w:t>
      </w:r>
      <w:r>
        <w:t xml:space="preserve"> </w:t>
      </w:r>
      <w:r>
        <w:t xml:space="preserve">in an otherwise plausible output; or did they see the flaws but issue corrections too vague to fix</w:t>
      </w:r>
      <w:r>
        <w:t xml:space="preserve"> </w:t>
      </w:r>
      <w:r>
        <w:t xml:space="preserve">them? These are three different failures with three different remedies (teaching problem</w:t>
      </w:r>
      <w:r>
        <w:t xml:space="preserve"> </w:t>
      </w:r>
      <w:r>
        <w:t xml:space="preserve">specification, teaching critical evaluation, and teaching corrective communication), and an instrument</w:t>
      </w:r>
      <w:r>
        <w:t xml:space="preserve"> </w:t>
      </w:r>
      <w:r>
        <w:t xml:space="preserve">that cannot separate them cannot guide instruction. Integrative reviews of AI literacy after</w:t>
      </w:r>
      <w:r>
        <w:t xml:space="preserve"> </w:t>
      </w:r>
      <w:r>
        <w:t xml:space="preserve">generative AI confirm that the field still lacks a scheme isolating distinct, independently-assessable</w:t>
      </w:r>
      <w:r>
        <w:t xml:space="preserve"> </w:t>
      </w:r>
      <w:r>
        <w:t xml:space="preserve">reasoning competencies (Gu &amp; Ericson, 2025), even as syntheses document generative AI's mixed effects</w:t>
      </w:r>
      <w:r>
        <w:t xml:space="preserve"> </w:t>
      </w:r>
      <w:r>
        <w:t xml:space="preserve">on critical and creative thinking (Li et al., 2026). A diagnostic competency model must therefore</w:t>
      </w:r>
      <w:r>
        <w:t xml:space="preserve"> </w:t>
      </w:r>
      <w:r>
        <w:t xml:space="preserve">decompose the human-AI loop into the distinct operations that can each break, and must show that those</w:t>
      </w:r>
      <w:r>
        <w:t xml:space="preserve"> </w:t>
      </w:r>
      <w:r>
        <w:t xml:space="preserve">operations are in fact separable in learners. That is the gap CoRe-3 addresses.</w:t>
      </w:r>
    </w:p>
    <w:bookmarkEnd w:id="14"/>
    <w:bookmarkStart w:id="21" w:name="X49d7beb9babb458bb4a3c64984f644552ecde42"/>
    <w:p>
      <w:pPr>
        <w:pStyle w:val="Heading2"/>
        <w:keepNext/>
        <w:keepLines/>
        <w:widowControl w:val="1"/>
      </w:pPr>
      <w:r>
        <w:t xml:space="preserve">3. The CoRe-3 framework</w:t>
      </w:r>
    </w:p>
    <w:bookmarkStart w:id="18" w:name="Xe68b6e3303f1e693b99eac37e4ff2b8b0d9c1ec"/>
    <w:p>
      <w:pPr>
        <w:pStyle w:val="Heading3"/>
        <w:keepNext/>
        <w:keepLines/>
        <w:widowControl w:val="1"/>
      </w:pPr>
      <w:r>
        <w:t xml:space="preserve">3.1 A monitor-control architecture with an upstream task-definition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three FJS skills are not an arbitrary list; they instantiate a well-understood cognitive</w:t>
      </w:r>
      <w:r>
        <w:t xml:space="preserve"> </w:t>
      </w:r>
      <w:r>
        <w:t xml:space="preserve">architecture. Nelson and Narens (1990) describe metacognition as a two-level system: an object level</w:t>
      </w:r>
      <w:r>
        <w:t xml:space="preserve"> </w:t>
      </w:r>
      <w:r>
        <w:t xml:space="preserve">(cognition itself) and a meta level (a dynamic model of the object level), linked by</w:t>
      </w:r>
      <w:r>
        <w:t xml:space="preserve"> </w:t>
      </w:r>
      <w:r>
        <w:rPr>
          <w:b/>
          <w:bCs/>
        </w:rPr>
        <w:t xml:space="preserve">monitoring</w:t>
      </w:r>
      <w:r>
        <w:t xml:space="preserve"> </w:t>
      </w:r>
      <w:r>
        <w:t xml:space="preserve">(information flowing from object to meta) and</w:t>
      </w:r>
      <w:r>
        <w:t xml:space="preserve"> </w:t>
      </w:r>
      <w:r>
        <w:rPr>
          <w:b/>
          <w:bCs/>
        </w:rPr>
        <w:t xml:space="preserve">control</w:t>
      </w:r>
      <w:r>
        <w:t xml:space="preserve"> </w:t>
      </w:r>
      <w:r>
        <w:t xml:space="preserve">(commands flowing from meta to object).</w:t>
      </w:r>
      <w:r>
        <w:t xml:space="preserve"> </w:t>
      </w:r>
      <w:r>
        <w:t xml:space="preserve">In CoRe-3, the learner's meta level supervises an object level that is</w:t>
      </w:r>
      <w:r>
        <w:t xml:space="preserve"> </w:t>
      </w:r>
      <w:r>
        <w:rPr>
          <w:i/>
          <w:iCs/>
        </w:rPr>
        <w:t xml:space="preserve">external</w:t>
      </w:r>
      <w:r>
        <w:t xml:space="preserve">, the AI's</w:t>
      </w:r>
      <w:r>
        <w:t xml:space="preserve"> </w:t>
      </w:r>
      <w:r>
        <w:t xml:space="preserve">generative process, rather than the learner's own cognition. This is a deliberate extension of the</w:t>
      </w:r>
      <w:r>
        <w:t xml:space="preserve"> </w:t>
      </w:r>
      <w:r>
        <w:t xml:space="preserve">Nelson-Narens architecture from intrapersonal monitoring to what we term</w:t>
      </w:r>
      <w:r>
        <w:t xml:space="preserve"> </w:t>
      </w:r>
      <w:r>
        <w:rPr>
          <w:i/>
          <w:iCs/>
        </w:rPr>
        <w:t xml:space="preserve">exo-directed</w:t>
      </w:r>
      <w:r>
        <w:t xml:space="preserve"> </w:t>
      </w:r>
      <w:r>
        <w:t xml:space="preserve">monitoring and</w:t>
      </w:r>
      <w:r>
        <w:t xml:space="preserve"> </w:t>
      </w:r>
      <w:r>
        <w:t xml:space="preserve">control, and it is the framework's central theoretical move: the same metacognitive machinery is turned</w:t>
      </w:r>
      <w:r>
        <w:t xml:space="preserve"> </w:t>
      </w:r>
      <w:r>
        <w:t xml:space="preserve">outward onto a fallible cognitive artifact. This extension is non-trivial. Exo-directed monitoring adds</w:t>
      </w:r>
      <w:r>
        <w:t xml:space="preserve"> </w:t>
      </w:r>
      <w:r>
        <w:t xml:space="preserve">an epistemic-vigilance burden that self-monitoring does not have: the learner must judge the reliability</w:t>
      </w:r>
      <w:r>
        <w:t xml:space="preserve"> </w:t>
      </w:r>
      <w:r>
        <w:t xml:space="preserve">of a source whose competence differs from, and is hidden from, their own. This is exactly why Judging is</w:t>
      </w:r>
      <w:r>
        <w:t xml:space="preserve"> </w:t>
      </w:r>
      <w:r>
        <w:t xml:space="preserve">bounded by domain knowledge (Proposition P4). With that point made, the mapping is direct:</w:t>
      </w:r>
    </w:p>
    <w:p>
      <w:pPr>
        <w:pStyle w:val="Compact"/>
        <w:numPr>
          <w:ilvl w:val="0"/>
          <w:numId w:val="1003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Judging is monitoring.</w:t>
      </w:r>
      <w:r>
        <w:t xml:space="preserve"> </w:t>
      </w:r>
      <w:r>
        <w:t xml:space="preserve">The learner compares AI output against an internal model of an adequate</w:t>
      </w:r>
      <w:r>
        <w:t xml:space="preserve"> </w:t>
      </w:r>
      <w:r>
        <w:t xml:space="preserve">solution and registers discrepancies.</w:t>
      </w:r>
    </w:p>
    <w:p>
      <w:pPr>
        <w:pStyle w:val="Compact"/>
        <w:numPr>
          <w:ilvl w:val="0"/>
          <w:numId w:val="1003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Steering is control.</w:t>
      </w:r>
      <w:r>
        <w:t xml:space="preserve"> </w:t>
      </w:r>
      <w:r>
        <w:t xml:space="preserve">The learner acts on the monitoring signal, issuing commands that change</w:t>
      </w:r>
      <w:r>
        <w:t xml:space="preserve"> </w:t>
      </w:r>
      <w:r>
        <w:t xml:space="preserve">the object-level process.</w:t>
      </w:r>
    </w:p>
    <w:p>
      <w:pPr>
        <w:pStyle w:val="Compact"/>
        <w:numPr>
          <w:ilvl w:val="0"/>
          <w:numId w:val="1003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Framing is task definition.</w:t>
      </w:r>
      <w:r>
        <w:t xml:space="preserve"> </w:t>
      </w:r>
      <w:r>
        <w:t xml:space="preserve">Before monitoring can occur, the learner must establish the</w:t>
      </w:r>
      <w:r>
        <w:t xml:space="preserve"> </w:t>
      </w:r>
      <w:r>
        <w:rPr>
          <w:i/>
          <w:iCs/>
        </w:rPr>
        <w:t xml:space="preserve">standards</w:t>
      </w:r>
      <w:r>
        <w:t xml:space="preserve"> </w:t>
      </w:r>
      <w:r>
        <w:t xml:space="preserve">against which output is judged. In the COPES model of self-regulated learning (conditions, operations, products, evaluations, and standards; Winne &amp;</w:t>
      </w:r>
      <w:r>
        <w:t xml:space="preserve"> </w:t>
      </w:r>
      <w:r>
        <w:t xml:space="preserve">Hadwin, 1998), task definition is the explicit first phase, and products are evaluated against</w:t>
      </w:r>
      <w:r>
        <w:t xml:space="preserve"> </w:t>
      </w:r>
      <w:r>
        <w:t xml:space="preserve">internally held standards; mismatch triggers reprocessing. Framing is that task-definition phase</w:t>
      </w:r>
      <w:r>
        <w:t xml:space="preserve"> </w:t>
      </w:r>
      <w:r>
        <w:t xml:space="preserve">applied to a human-AI loop: it sets the referent that makes Judging and Steering well-posed.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Judge→Steer cycle is therefore a monitor→control loop seeded by a task definition. This is the</w:t>
      </w:r>
      <w:r>
        <w:t xml:space="preserve"> </w:t>
      </w:r>
      <w:r>
        <w:t xml:space="preserve">structural spine of the framework and the reason the three skills cohere rather than coexist by stipulation</w:t>
      </w:r>
      <w:r>
        <w:t xml:space="preserve"> </w:t>
      </w:r>
      <w:r>
        <w:t xml:space="preserve">(Figure 2).</w:t>
      </w:r>
    </w:p>
    <w:p>
      <w:pPr>
        <w:pStyle w:val="BodyText"/>
        <w:jc w:val="center"/>
        <w:keepNext/>
        <w:keepLines/>
        <w:widowControl w:val="1"/>
      </w:pPr>
      <w:r>
        <w:drawing>
          <wp:inline>
            <wp:extent cx="5943600" cy="3488634"/>
            <wp:effectExtent b="0" l="0" r="0" t="0"/>
            <wp:docPr descr="Figure 2. The CoRe-3 architecture." title="" id="16" name="Picture"/>
            <a:graphic>
              <a:graphicData uri="http://schemas.openxmlformats.org/drawingml/2006/picture">
                <pic:pic>
                  <pic:nvPicPr>
                    <pic:cNvPr descr="E:/tmp/html2doc_svg_ahIjPU/svg_1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8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2.</w:t>
      </w:r>
      <w:r>
        <w:rPr>
          <w:b w:val="0"/>
          <w:i/>
        </w:rPr>
        <w:t xml:space="preserve"> </w:t>
      </w:r>
      <w:r>
        <w:rPr>
          <w:b w:val="0"/>
          <w:i/>
        </w:rPr>
        <w:t>The CoRe-3 loop. An upstream task definition (Framing, a self-regulated-learning forethought activity) sets the standards against which a metacognitive monitor-control cycle (Judging then Steering) supervises a fallible AI at the object level. Judging is the monitor's read-out; Steering is the controller's write.</w:t>
      </w:r>
    </w:p>
    <w:bookmarkEnd w:id="18"/>
    <w:bookmarkStart w:id="19" w:name="Xce6e1ca138cc2fbbca968c6b99114842268beb5"/>
    <w:p>
      <w:pPr>
        <w:pStyle w:val="Heading3"/>
        <w:keepNext/>
        <w:keepLines/>
        <w:widowControl w:val="1"/>
      </w:pPr>
      <w:r>
        <w:t xml:space="preserve">3.2 The temporal-separation claim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Existing frameworks treat "use the AI well" as one skill or, at most, pair "prompt" with "evaluate."</w:t>
      </w:r>
      <w:r>
        <w:t xml:space="preserve"> </w:t>
      </w:r>
      <w:r>
        <w:t xml:space="preserve">CoRe-3's distinctive move is to separate two operations that prior models fuse: the</w:t>
      </w:r>
      <w:r>
        <w:t xml:space="preserve"> </w:t>
      </w:r>
      <w:r>
        <w:rPr>
          <w:i/>
          <w:iCs/>
        </w:rPr>
        <w:t xml:space="preserve">pre-generation</w:t>
      </w:r>
      <w:r>
        <w:t xml:space="preserve"> </w:t>
      </w:r>
      <w:r>
        <w:t xml:space="preserve">skill of structuring the task (Framing) and the</w:t>
      </w:r>
      <w:r>
        <w:t xml:space="preserve"> </w:t>
      </w:r>
      <w:r>
        <w:rPr>
          <w:i/>
          <w:iCs/>
        </w:rPr>
        <w:t xml:space="preserve">post-generation</w:t>
      </w:r>
      <w:r>
        <w:t xml:space="preserve"> </w:t>
      </w:r>
      <w:r>
        <w:t xml:space="preserve">skill of correcting</w:t>
      </w:r>
      <w:r>
        <w:t xml:space="preserve"> </w:t>
      </w:r>
      <w:r>
        <w:t xml:space="preserve">the output (Steering). These are different cognitive acts at different points in time, with different</w:t>
      </w:r>
      <w:r>
        <w:t xml:space="preserve"> </w:t>
      </w:r>
      <w:r>
        <w:t xml:space="preserve">error modes and different instructional remedies. A learner can frame impeccably and steer poorly</w:t>
      </w:r>
      <w:r>
        <w:t xml:space="preserve"> </w:t>
      </w:r>
      <w:r>
        <w:t xml:space="preserve">(detect a flaw but issue a vague correction), or steer fluently atop a malformed task (drive the AI</w:t>
      </w:r>
      <w:r>
        <w:t xml:space="preserve"> </w:t>
      </w:r>
      <w:r>
        <w:t xml:space="preserve">energetically toward the wrong target). Collapsing both into "prompting" hides exactly the</w:t>
      </w:r>
      <w:r>
        <w:t xml:space="preserve"> </w:t>
      </w:r>
      <w:r>
        <w:t xml:space="preserve">distinctions an educator needs.</w:t>
      </w:r>
    </w:p>
    <w:bookmarkEnd w:id="19"/>
    <w:bookmarkStart w:id="20" w:name="Xdb2b1112fd00524e4d1e38ed327bda10bf491fe"/>
    <w:p>
      <w:pPr>
        <w:pStyle w:val="Heading3"/>
        <w:keepNext/>
        <w:keepLines/>
        <w:widowControl w:val="1"/>
      </w:pPr>
      <w:r>
        <w:t xml:space="preserve">3.3 Distinguishing Judging from Steering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Because Judging and Steering both occur after generation and in a tight loop, their boundary needs</w:t>
      </w:r>
      <w:r>
        <w:t xml:space="preserve"> </w:t>
      </w:r>
      <w:r>
        <w:t xml:space="preserve">stating precisely.</w:t>
      </w:r>
      <w:r>
        <w:t xml:space="preserve"> </w:t>
      </w:r>
      <w:r>
        <w:rPr>
          <w:b/>
          <w:bCs/>
        </w:rPr>
        <w:t xml:space="preserve">Judging is assessment; Steering is action.</w:t>
      </w:r>
      <w:r>
        <w:t xml:space="preserve"> </w:t>
      </w:r>
      <w:r>
        <w:t xml:space="preserve">Judging produces a</w:t>
      </w:r>
      <w:r>
        <w:t xml:space="preserve"> </w:t>
      </w:r>
      <w:r>
        <w:rPr>
          <w:i/>
          <w:iCs/>
        </w:rPr>
        <w:t xml:space="preserve">representation</w:t>
      </w:r>
      <w:r>
        <w:rPr>
          <w:i/>
          <w:iCs/>
        </w:rPr>
        <w:t xml:space="preserve"> </w:t>
      </w:r>
      <w:r>
        <w:rPr>
          <w:i/>
          <w:iCs/>
        </w:rPr>
        <w:t xml:space="preserve">of what is wrong</w:t>
      </w:r>
      <w:r>
        <w:t xml:space="preserve"> </w:t>
      </w:r>
      <w:r>
        <w:t xml:space="preserve">with the current output, an internal or articulated list of detected flaws, gaps,</w:t>
      </w:r>
      <w:r>
        <w:t xml:space="preserve"> </w:t>
      </w:r>
      <w:r>
        <w:t xml:space="preserve">and risks, and a calibrated sense of how much to trust the output. It is evaluative and its output is</w:t>
      </w:r>
      <w:r>
        <w:t xml:space="preserve"> </w:t>
      </w:r>
      <w:r>
        <w:t xml:space="preserve">a diagnosis. Steering consumes that diagnosis and produces a</w:t>
      </w:r>
      <w:r>
        <w:t xml:space="preserve"> </w:t>
      </w:r>
      <w:r>
        <w:rPr>
          <w:i/>
          <w:iCs/>
        </w:rPr>
        <w:t xml:space="preserve">corrective instruction</w:t>
      </w:r>
      <w:r>
        <w:t xml:space="preserve"> </w:t>
      </w:r>
      <w:r>
        <w:t xml:space="preserve">aimed at</w:t>
      </w:r>
      <w:r>
        <w:t xml:space="preserve"> </w:t>
      </w:r>
      <w:r>
        <w:t xml:space="preserve">changing the next output: it is generative and directive, and its quality depends on prioritization</w:t>
      </w:r>
      <w:r>
        <w:t xml:space="preserve"> </w:t>
      </w:r>
      <w:r>
        <w:t xml:space="preserve">(addressing the most critical flaw first), specificity (an actionable command rather than "improve</w:t>
      </w:r>
      <w:r>
        <w:t xml:space="preserve"> </w:t>
      </w:r>
      <w:r>
        <w:t xml:space="preserve">this"), and effectiveness (whether the output actually converges). In the monitor-control terms of</w:t>
      </w:r>
      <w:r>
        <w:t xml:space="preserve"> </w:t>
      </w:r>
      <w:r>
        <w:t xml:space="preserve">Section 3.1, Judging is the monitor's</w:t>
      </w:r>
      <w:r>
        <w:t xml:space="preserve"> </w:t>
      </w:r>
      <w:r>
        <w:rPr>
          <w:i/>
          <w:iCs/>
        </w:rPr>
        <w:t xml:space="preserve">read-out</w:t>
      </w:r>
      <w:r>
        <w:t xml:space="preserve"> </w:t>
      </w:r>
      <w:r>
        <w:t xml:space="preserve">and Steering is the controller's</w:t>
      </w:r>
      <w:r>
        <w:t xml:space="preserve"> </w:t>
      </w:r>
      <w:r>
        <w:rPr>
          <w:i/>
          <w:iCs/>
        </w:rPr>
        <w:t xml:space="preserve">write</w:t>
      </w:r>
      <w:r>
        <w:t xml:space="preserve">. The two</w:t>
      </w:r>
      <w:r>
        <w:t xml:space="preserve"> </w:t>
      </w:r>
      <w:r>
        <w:t xml:space="preserve">dissociate because the competencies differ: a learner may diagnose accurately yet communicate the fix</w:t>
      </w:r>
      <w:r>
        <w:t xml:space="preserve"> </w:t>
      </w:r>
      <w:r>
        <w:t xml:space="preserve">poorly (good Judging, weak Steering), or issue fluent, confident commands that target the wrong thing</w:t>
      </w:r>
      <w:r>
        <w:t xml:space="preserve"> </w:t>
      </w:r>
      <w:r>
        <w:t xml:space="preserve">because the diagnosis was wrong (weak Judging propagating into misdirected Steering, the failure mode</w:t>
      </w:r>
      <w:r>
        <w:t xml:space="preserve"> </w:t>
      </w:r>
      <w:r>
        <w:t xml:space="preserve">Proposition P2 predicts). This last point also reconciles an apparent tension: P2 (Judging bounds</w:t>
      </w:r>
      <w:r>
        <w:t xml:space="preserve"> </w:t>
      </w:r>
      <w:r>
        <w:t xml:space="preserve">Steering) implies the two grades will be</w:t>
      </w:r>
      <w:r>
        <w:t xml:space="preserve"> </w:t>
      </w:r>
      <w:r>
        <w:rPr>
          <w:i/>
          <w:iCs/>
        </w:rPr>
        <w:t xml:space="preserve">positively correlated</w:t>
      </w:r>
      <w:r>
        <w:t xml:space="preserve"> </w:t>
      </w:r>
      <w:r>
        <w:t xml:space="preserve">in the aggregate, while P3 claims they</w:t>
      </w:r>
      <w:r>
        <w:t xml:space="preserve"> </w:t>
      </w:r>
      <w:r>
        <w:rPr>
          <w:i/>
          <w:iCs/>
        </w:rPr>
        <w:t xml:space="preserve">dissociate</w:t>
      </w:r>
      <w:r>
        <w:t xml:space="preserve">. Both hold. P2 is a ceiling relation (Steering cannot exceed the quality its Judging</w:t>
      </w:r>
      <w:r>
        <w:t xml:space="preserve"> </w:t>
      </w:r>
      <w:r>
        <w:t xml:space="preserve">permits), which induces correlation without identity; P3 is the claim that the off-diagonal is well</w:t>
      </w:r>
      <w:r>
        <w:t xml:space="preserve"> </w:t>
      </w:r>
      <w:r>
        <w:t xml:space="preserve">below the reliability ceiling, so the skills are not interchangeable. We therefore test dissociation</w:t>
      </w:r>
      <w:r>
        <w:t xml:space="preserve"> </w:t>
      </w:r>
      <w:r>
        <w:t xml:space="preserve">pairwise and report whether each skill's grade responds to its own manipulated competence while</w:t>
      </w:r>
      <w:r>
        <w:t xml:space="preserve"> </w:t>
      </w:r>
      <w:r>
        <w:t xml:space="preserve">remaining comparatively flat in the others, rather than relying on a single global factor model.</w:t>
      </w:r>
    </w:p>
    <w:bookmarkEnd w:id="20"/>
    <w:bookmarkEnd w:id="21"/>
    <w:bookmarkStart w:id="22" w:name="X33559beceade9e011829ba0dfd35bbac6035713"/>
    <w:p>
      <w:pPr>
        <w:pStyle w:val="Heading2"/>
        <w:keepNext/>
        <w:keepLines/>
        <w:widowControl w:val="1"/>
      </w:pPr>
      <w:r>
        <w:t xml:space="preserve">4. Theoretical grounding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Each skill is anchored in established theory, and the anchors are mutually consistent because they</w:t>
      </w:r>
      <w:r>
        <w:t xml:space="preserve"> </w:t>
      </w:r>
      <w:r>
        <w:t xml:space="preserve">share the metacognitive backbone of Section 3.1.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Framing</w:t>
      </w:r>
      <w:r>
        <w:t xml:space="preserve"> </w:t>
      </w:r>
      <w:r>
        <w:t xml:space="preserve">is the task-definition phase of self-regulated learning. In the COPES model (Winne &amp;</w:t>
      </w:r>
      <w:r>
        <w:t xml:space="preserve"> </w:t>
      </w:r>
      <w:r>
        <w:t xml:space="preserve">Hadwin, 1998), self-regulated work begins by constructing a definition of the task and the standards a</w:t>
      </w:r>
      <w:r>
        <w:t xml:space="preserve"> </w:t>
      </w:r>
      <w:r>
        <w:t xml:space="preserve">product must satisfy; Zimmerman's (2000) forethought phase similarly precedes performance with goal</w:t>
      </w:r>
      <w:r>
        <w:t xml:space="preserve"> </w:t>
      </w:r>
      <w:r>
        <w:t xml:space="preserve">setting and strategic planning. Framing applies this phase to a human-AI loop: the learner converts an</w:t>
      </w:r>
      <w:r>
        <w:t xml:space="preserve"> </w:t>
      </w:r>
      <w:r>
        <w:t xml:space="preserve">ill-defined situation into a specified task with explicit constraints and success criteria. In Bloom's</w:t>
      </w:r>
      <w:r>
        <w:t xml:space="preserve"> </w:t>
      </w:r>
      <w:r>
        <w:t xml:space="preserve">revised taxonomy (Anderson &amp; Krathwohl, 2001), specifying an original task is a Create-level activity,</w:t>
      </w:r>
      <w:r>
        <w:t xml:space="preserve"> </w:t>
      </w:r>
      <w:r>
        <w:t xml:space="preserve">and the competence to know what makes a task tractable for a given tool is metacognitive task</w:t>
      </w:r>
      <w:r>
        <w:t xml:space="preserve"> </w:t>
      </w:r>
      <w:r>
        <w:t xml:space="preserve">knowledge (Flavell, 1979).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Judging</w:t>
      </w:r>
      <w:r>
        <w:t xml:space="preserve"> </w:t>
      </w:r>
      <w:r>
        <w:t xml:space="preserve">is metacognitive monitoring (Nelson &amp; Narens, 1990) directed at an external generative</w:t>
      </w:r>
      <w:r>
        <w:t xml:space="preserve"> </w:t>
      </w:r>
      <w:r>
        <w:t xml:space="preserve">source. Its content is the evaluative core of critical thinking, the Delphi-consensus skills of</w:t>
      </w:r>
      <w:r>
        <w:t xml:space="preserve"> </w:t>
      </w:r>
      <w:r>
        <w:t xml:space="preserve">analysis and evaluation (Facione, 1990) and the Paul and Elder (2006) intellectual standards, which supply a</w:t>
      </w:r>
      <w:r>
        <w:t xml:space="preserve"> </w:t>
      </w:r>
      <w:r>
        <w:t xml:space="preserve">ready vocabulary for assessing reasoning. Because the object being judged is a</w:t>
      </w:r>
      <w:r>
        <w:t xml:space="preserve"> </w:t>
      </w:r>
      <w:r>
        <w:rPr>
          <w:i/>
          <w:iCs/>
        </w:rPr>
        <w:t xml:space="preserve">communicated knowledge</w:t>
      </w:r>
      <w:r>
        <w:rPr>
          <w:i/>
          <w:iCs/>
        </w:rPr>
        <w:t xml:space="preserve"> </w:t>
      </w:r>
      <w:r>
        <w:rPr>
          <w:i/>
          <w:iCs/>
        </w:rPr>
        <w:t xml:space="preserve">claim</w:t>
      </w:r>
      <w:r>
        <w:t xml:space="preserve"> </w:t>
      </w:r>
      <w:r>
        <w:t xml:space="preserve">from a fluent but fallible source, the most precise anchor is epistemic vigilance (Sperber et</w:t>
      </w:r>
      <w:r>
        <w:t xml:space="preserve"> </w:t>
      </w:r>
      <w:r>
        <w:t xml:space="preserve">al., 2010), which pairs source monitoring (is this source trustworthy?) with content evaluation (is</w:t>
      </w:r>
      <w:r>
        <w:t xml:space="preserve"> </w:t>
      </w:r>
      <w:r>
        <w:t xml:space="preserve">this internally and externally coherent?). Barzilai and Chinn's (2018) account of apt epistemic</w:t>
      </w:r>
      <w:r>
        <w:t xml:space="preserve"> </w:t>
      </w:r>
      <w:r>
        <w:t xml:space="preserve">performance adds the criteria-for-good-knowledge dimension that a learner must hold to judge well, and</w:t>
      </w:r>
      <w:r>
        <w:t xml:space="preserve"> </w:t>
      </w:r>
      <w:r>
        <w:t xml:space="preserve">the human-automation literature supplies the calibration target: reliance matched to actual</w:t>
      </w:r>
      <w:r>
        <w:t xml:space="preserve"> </w:t>
      </w:r>
      <w:r>
        <w:t xml:space="preserve">reliability (Lee &amp; See, 2004), the failure of which is the over-reliance documented in AI-assisted</w:t>
      </w:r>
      <w:r>
        <w:t xml:space="preserve"> </w:t>
      </w:r>
      <w:r>
        <w:t xml:space="preserve">decision-making (Bansal et al., 2021; Buçinca et al., 2021) and the broader automation-complacency it</w:t>
      </w:r>
      <w:r>
        <w:t xml:space="preserve"> </w:t>
      </w:r>
      <w:r>
        <w:t xml:space="preserve">extends (Parasuraman &amp; Manzey, 2010). That Judging is a trainable skill rather</w:t>
      </w:r>
      <w:r>
        <w:t xml:space="preserve"> </w:t>
      </w:r>
      <w:r>
        <w:t xml:space="preserve">than an automatic byproduct of competence is underscored by recent evidence that metacognitive</w:t>
      </w:r>
      <w:r>
        <w:t xml:space="preserve"> </w:t>
      </w:r>
      <w:r>
        <w:t xml:space="preserve">monitoring can decouple from performance in human-AI reasoning (Fernandes et al., 2024), and by recent</w:t>
      </w:r>
      <w:r>
        <w:t xml:space="preserve"> </w:t>
      </w:r>
      <w:r>
        <w:t xml:space="preserve">work on whether learners can evaluate AI output quality as experts do (Nazaretsky et al., 2025).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Steering</w:t>
      </w:r>
      <w:r>
        <w:t xml:space="preserve"> </w:t>
      </w:r>
      <w:r>
        <w:t xml:space="preserve">is metacognitive control (Nelson &amp; Narens, 1990): acting on the monitoring signal to</w:t>
      </w:r>
      <w:r>
        <w:t xml:space="preserve"> </w:t>
      </w:r>
      <w:r>
        <w:t xml:space="preserve">change the object-level process. Pedagogically it inverts cognitive-apprenticeship coaching and</w:t>
      </w:r>
      <w:r>
        <w:t xml:space="preserve"> </w:t>
      </w:r>
      <w:r>
        <w:t xml:space="preserve">scaffolding (Collins, Brown &amp; Newman, 1989): the learner, not the master, supplies the corrective</w:t>
      </w:r>
      <w:r>
        <w:t xml:space="preserve"> </w:t>
      </w:r>
      <w:r>
        <w:t xml:space="preserve">guidance. Its quality depends on the learner monitoring the work against held standards (Sadler, 1989),</w:t>
      </w:r>
      <w:r>
        <w:t xml:space="preserve"> </w:t>
      </w:r>
      <w:r>
        <w:t xml:space="preserve">and is well described by feed-forward, the "where to next" component of effective feedback</w:t>
      </w:r>
      <w:r>
        <w:t xml:space="preserve"> </w:t>
      </w:r>
      <w:r>
        <w:t xml:space="preserve">(Hattie &amp; Timperley, 2007).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The loop and its positioning.</w:t>
      </w:r>
      <w:r>
        <w:t xml:space="preserve"> </w:t>
      </w:r>
      <w:r>
        <w:t xml:space="preserve">The Judge-Steer cycle is designed to push learners into the</w:t>
      </w:r>
      <w:r>
        <w:t xml:space="preserve"> </w:t>
      </w:r>
      <w:r>
        <w:t xml:space="preserve">Interactive mode of the ICAP framework (interactive, constructive, active, passive; Chi &amp; Wylie, 2014), in which knowledge is co-constructed</w:t>
      </w:r>
      <w:r>
        <w:t xml:space="preserve"> </w:t>
      </w:r>
      <w:r>
        <w:t xml:space="preserve">through dialogue rather than passively received, the mode ICAP associates with the greatest learning.</w:t>
      </w:r>
      <w:r>
        <w:t xml:space="preserve"> </w:t>
      </w:r>
      <w:r>
        <w:t xml:space="preserve">The framework casts the AI as a mediating cultural tool that extends the learner's zone of proximal</w:t>
      </w:r>
      <w:r>
        <w:t xml:space="preserve"> </w:t>
      </w:r>
      <w:r>
        <w:t xml:space="preserve">development (Vygotsky, 1978): the learner accomplishes with the model what they could not alone, while</w:t>
      </w:r>
      <w:r>
        <w:t xml:space="preserve"> </w:t>
      </w:r>
      <w:r>
        <w:t xml:space="preserve">internalizing the Framing, Judging, and Steering moves for eventual independent use.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The pedagogical stance.</w:t>
      </w:r>
      <w:r>
        <w:t xml:space="preserve"> </w:t>
      </w:r>
      <w:r>
        <w:t xml:space="preserve">CoRe-3's rejection of speed-to-answer rests on the literature of</w:t>
      </w:r>
      <w:r>
        <w:t xml:space="preserve"> </w:t>
      </w:r>
      <w:r>
        <w:t xml:space="preserve">productive struggle and desirable difficulties (Bjork &amp; Bjork, 2011; Kapur, 2008): conditions that</w:t>
      </w:r>
      <w:r>
        <w:t xml:space="preserve"> </w:t>
      </w:r>
      <w:r>
        <w:t xml:space="preserve">slow performance but deepen learning. The friction of specifying, evaluating, and correcting is not an</w:t>
      </w:r>
      <w:r>
        <w:t xml:space="preserve"> </w:t>
      </w:r>
      <w:r>
        <w:t xml:space="preserve">obstacle to be engineered away but the very locus of learning, which is why the instructional design</w:t>
      </w:r>
      <w:r>
        <w:t xml:space="preserve"> </w:t>
      </w:r>
      <w:r>
        <w:t xml:space="preserve">deliberately presents imperfect output for the learner to improve rather than a polished answer to</w:t>
      </w:r>
      <w:r>
        <w:t xml:space="preserve"> </w:t>
      </w:r>
      <w:r>
        <w:t xml:space="preserve">accept.</w:t>
      </w:r>
    </w:p>
    <w:bookmarkEnd w:id="22"/>
    <w:bookmarkStart w:id="23" w:name="Xe47ed403f4ce49fb25f912e3b7155b566fcd076"/>
    <w:p>
      <w:pPr>
        <w:pStyle w:val="Heading2"/>
        <w:keepNext/>
        <w:keepLines/>
        <w:widowControl w:val="1"/>
      </w:pPr>
      <w:r>
        <w:t xml:space="preserve">5. Propositions</w:t>
      </w:r>
    </w:p>
    <w:p>
      <w:pPr>
        <w:pStyle w:val="Compact"/>
        <w:numPr>
          <w:ilvl w:val="0"/>
          <w:numId w:val="1004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P1 (Framing gates the loop).</w:t>
      </w:r>
      <w:r>
        <w:t xml:space="preserve"> </w:t>
      </w:r>
      <w:r>
        <w:t xml:space="preserve">Framing causally precedes and bounds Judging and Steering;</w:t>
      </w:r>
      <w:r>
        <w:t xml:space="preserve"> </w:t>
      </w:r>
      <w:r>
        <w:t xml:space="preserve">framing failures are not recoverable by downstream steering, because a malformed task gives the</w:t>
      </w:r>
      <w:r>
        <w:t xml:space="preserve"> </w:t>
      </w:r>
      <w:r>
        <w:t xml:space="preserve">monitor no stable referent.</w:t>
      </w:r>
    </w:p>
    <w:p>
      <w:pPr>
        <w:pStyle w:val="Compact"/>
        <w:numPr>
          <w:ilvl w:val="0"/>
          <w:numId w:val="1004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P2 (Judging gates Steering).</w:t>
      </w:r>
      <w:r>
        <w:t xml:space="preserve"> </w:t>
      </w:r>
      <w:r>
        <w:t xml:space="preserve">Steering quality is upper-bounded by Judging quality: undetected</w:t>
      </w:r>
      <w:r>
        <w:t xml:space="preserve"> </w:t>
      </w:r>
      <w:r>
        <w:t xml:space="preserve">flaws cannot be corrected, and high steering effort over poor judging yields confident misdirection</w:t>
      </w:r>
      <w:r>
        <w:t xml:space="preserve"> </w:t>
      </w:r>
      <w:r>
        <w:t xml:space="preserve">(the over-reliance failure mode).</w:t>
      </w:r>
    </w:p>
    <w:p>
      <w:pPr>
        <w:pStyle w:val="Compact"/>
        <w:numPr>
          <w:ilvl w:val="0"/>
          <w:numId w:val="1004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P3 (Dissociation).</w:t>
      </w:r>
      <w:r>
        <w:t xml:space="preserve"> </w:t>
      </w:r>
      <w:r>
        <w:t xml:space="preserve">The three skills are separable competencies; proficiency in one does not</w:t>
      </w:r>
      <w:r>
        <w:t xml:space="preserve"> </w:t>
      </w:r>
      <w:r>
        <w:t xml:space="preserve">imply proficiency in another. This is the central empirically-testable claim, and it establishes</w:t>
      </w:r>
      <w:r>
        <w:t xml:space="preserve"> </w:t>
      </w:r>
      <w:r>
        <w:t xml:space="preserve">that the three skills are genuinely distinct rather than a relabeling of "prompting."</w:t>
      </w:r>
    </w:p>
    <w:p>
      <w:pPr>
        <w:pStyle w:val="Compact"/>
        <w:numPr>
          <w:ilvl w:val="0"/>
          <w:numId w:val="1004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P4 (Asymmetric transfer).</w:t>
      </w:r>
      <w:r>
        <w:t xml:space="preserve"> </w:t>
      </w:r>
      <w:r>
        <w:t xml:space="preserve">Judging is bounded by domain knowledge (the calibration trap) and</w:t>
      </w:r>
      <w:r>
        <w:t xml:space="preserve"> </w:t>
      </w:r>
      <w:r>
        <w:t xml:space="preserve">therefore transfers across domains less readily than the more structural skill of Framing.</w:t>
      </w:r>
    </w:p>
    <w:p>
      <w:pPr>
        <w:pStyle w:val="Compact"/>
        <w:numPr>
          <w:ilvl w:val="0"/>
          <w:numId w:val="1004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P5 (Inverse of offloading).</w:t>
      </w:r>
      <w:r>
        <w:t xml:space="preserve"> </w:t>
      </w:r>
      <w:r>
        <w:t xml:space="preserve">Each skill re-inserts a self-regulatory operation that cognitive</w:t>
      </w:r>
      <w:r>
        <w:t xml:space="preserve"> </w:t>
      </w:r>
      <w:r>
        <w:t xml:space="preserve">offloading short-circuits; the framework offloads</w:t>
      </w:r>
      <w:r>
        <w:t xml:space="preserve"> </w:t>
      </w:r>
      <w:r>
        <w:rPr>
          <w:i/>
          <w:iCs/>
        </w:rPr>
        <w:t xml:space="preserve">execution</w:t>
      </w:r>
      <w:r>
        <w:t xml:space="preserve"> </w:t>
      </w:r>
      <w:r>
        <w:t xml:space="preserve">while retaining</w:t>
      </w:r>
      <w:r>
        <w:t xml:space="preserve"> </w:t>
      </w:r>
      <w:r>
        <w:rPr>
          <w:i/>
          <w:iCs/>
        </w:rPr>
        <w:t xml:space="preserve">cognition</w:t>
      </w:r>
      <w:r>
        <w:t xml:space="preserve">.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These propositions differ in how far the present work tests them. The feasibility demonstration</w:t>
      </w:r>
      <w:r>
        <w:t xml:space="preserve"> </w:t>
      </w:r>
      <w:r>
        <w:t xml:space="preserve">(Section 8) directly supports</w:t>
      </w:r>
      <w:r>
        <w:t xml:space="preserve"> </w:t>
      </w:r>
      <w:r>
        <w:rPr>
          <w:b/>
          <w:bCs/>
        </w:rPr>
        <w:t xml:space="preserve">P3</w:t>
      </w:r>
      <w:r>
        <w:t xml:space="preserve"> </w:t>
      </w:r>
      <w:r>
        <w:t xml:space="preserve">(the three skills dissociate) and bears partly on</w:t>
      </w:r>
      <w:r>
        <w:t xml:space="preserve"> </w:t>
      </w:r>
      <w:r>
        <w:rPr>
          <w:b/>
          <w:bCs/>
        </w:rPr>
        <w:t xml:space="preserve">P2</w:t>
      </w:r>
      <w:r>
        <w:t xml:space="preserve"> </w:t>
      </w:r>
      <w:r>
        <w:t xml:space="preserve">(the</w:t>
      </w:r>
      <w:r>
        <w:t xml:space="preserve"> </w:t>
      </w:r>
      <w:r>
        <w:t xml:space="preserve">steering own-effect is bounded in a way consistent with judging gating steering).</w:t>
      </w:r>
      <w:r>
        <w:t xml:space="preserve"> </w:t>
      </w:r>
      <w:r>
        <w:rPr>
          <w:b/>
          <w:bCs/>
        </w:rPr>
        <w:t xml:space="preserve">P1</w:t>
      </w:r>
      <w:r>
        <w:t xml:space="preserve">,</w:t>
      </w:r>
      <w:r>
        <w:t xml:space="preserve"> </w:t>
      </w:r>
      <w:r>
        <w:rPr>
          <w:b/>
          <w:bCs/>
        </w:rPr>
        <w:t xml:space="preserve">P4</w:t>
      </w:r>
      <w:r>
        <w:t xml:space="preserve">, and</w:t>
      </w:r>
      <w:r>
        <w:t xml:space="preserve"> </w:t>
      </w:r>
      <w:r>
        <w:rPr>
          <w:b/>
          <w:bCs/>
        </w:rPr>
        <w:t xml:space="preserve">P5</w:t>
      </w:r>
      <w:r>
        <w:t xml:space="preserve"> </w:t>
      </w:r>
      <w:r>
        <w:t xml:space="preserve">are stated here as falsifiable hypotheses for the validation and classroom agenda (Section 9.3),</w:t>
      </w:r>
      <w:r>
        <w:t xml:space="preserve"> </w:t>
      </w:r>
      <w:r>
        <w:t xml:space="preserve">not as claims the demo establishes. Each names a concrete test: P1 fails if a strong steering</w:t>
      </w:r>
      <w:r>
        <w:t xml:space="preserve"> </w:t>
      </w:r>
      <w:r>
        <w:t xml:space="preserve">intervention recovers grades after a deliberately malformed framing; P4 fails if Judging transfers</w:t>
      </w:r>
      <w:r>
        <w:t xml:space="preserve"> </w:t>
      </w:r>
      <w:r>
        <w:t xml:space="preserve">across domains as readily as Framing; P5 fails if exercising the loop does not reduce the offloading</w:t>
      </w:r>
      <w:r>
        <w:t xml:space="preserve"> </w:t>
      </w:r>
      <w:r>
        <w:t xml:space="preserve">signatures (for example, reduced post-task recall) documented in the cognitive-debt literature.</w:t>
      </w:r>
    </w:p>
    <w:bookmarkEnd w:id="23"/>
    <w:bookmarkStart w:id="24" w:name="X7e2be599b6fb27f7d4655c10155b63b05f9aa9d"/>
    <w:p>
      <w:pPr>
        <w:pStyle w:val="Heading2"/>
        <w:keepNext/>
        <w:keepLines/>
        <w:widowControl w:val="1"/>
      </w:pPr>
      <w:r>
        <w:t xml:space="preserve">6. Relation to prior frameworks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constructs that compose CoRe-3 are not individually new; what is new is their separation into</w:t>
      </w:r>
      <w:r>
        <w:t xml:space="preserve"> </w:t>
      </w:r>
      <w:r>
        <w:t xml:space="preserve">three parallel, independently-assessable competencies anchored in a monitor-control architecture. We</w:t>
      </w:r>
      <w:r>
        <w:t xml:space="preserve"> </w:t>
      </w:r>
      <w:r>
        <w:t xml:space="preserve">make the boundary explicit against the nearest priors.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Fluency, metacognitive, and prompt-literacy frameworks.</w:t>
      </w:r>
      <w:r>
        <w:t xml:space="preserve"> </w:t>
      </w:r>
      <w:r>
        <w:t xml:space="preserve">The 4D model of AI fluency (Dakan &amp;</w:t>
      </w:r>
      <w:r>
        <w:t xml:space="preserve"> </w:t>
      </w:r>
      <w:r>
        <w:t xml:space="preserve">Feller, 2025) maps Discernment onto Judging but bundles the initial specification and the iterative</w:t>
      </w:r>
      <w:r>
        <w:t xml:space="preserve"> </w:t>
      </w:r>
      <w:r>
        <w:t xml:space="preserve">back-and-forth into one "Description," exactly the pre- versus post-generation operations we separate.</w:t>
      </w:r>
      <w:r>
        <w:t xml:space="preserve"> </w:t>
      </w:r>
      <w:r>
        <w:t xml:space="preserve">Tankelevitch et al. (2024) analyse generative-AI use as metacognitive demands (prompting, output</w:t>
      </w:r>
      <w:r>
        <w:t xml:space="preserve"> </w:t>
      </w:r>
      <w:r>
        <w:t xml:space="preserve">evaluation, workflow iteration); we share that foundation but convert a demands analysis into an</w:t>
      </w:r>
      <w:r>
        <w:t xml:space="preserve"> </w:t>
      </w:r>
      <w:r>
        <w:t xml:space="preserve">assessable model with rubrics, propositions, and dissociation evidence. Prompt-literacy models such as</w:t>
      </w:r>
      <w:r>
        <w:t xml:space="preserve"> </w:t>
      </w:r>
      <w:r>
        <w:t xml:space="preserve">CLEAR (Lo, 2023), including the formulate-interpret-refine decomposition of Tour and Zadorozhnyy</w:t>
      </w:r>
      <w:r>
        <w:t xml:space="preserve"> </w:t>
      </w:r>
      <w:r>
        <w:t xml:space="preserve">(2025), likewise fuse task specification and refinement under "prompting" and do not grade the</w:t>
      </w:r>
      <w:r>
        <w:t xml:space="preserve"> </w:t>
      </w:r>
      <w:r>
        <w:t xml:space="preserve">sub-practices as dissociable competencies. This fusion of Framing and Steering is the conflation</w:t>
      </w:r>
      <w:r>
        <w:t xml:space="preserve"> </w:t>
      </w:r>
      <w:r>
        <w:t xml:space="preserve">CoRe-3 rejects, and our feasibility demonstration shows the two grades can diverge.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Literacy, metric, and mode frameworks.</w:t>
      </w:r>
      <w:r>
        <w:t xml:space="preserve"> </w:t>
      </w:r>
      <w:r>
        <w:t xml:space="preserve">Knowledge-oriented AI-literacy sets (Long &amp; Magerko, 2020;</w:t>
      </w:r>
      <w:r>
        <w:t xml:space="preserve"> </w:t>
      </w:r>
      <w:r>
        <w:t xml:space="preserve">UNESCO, 2024) define literacy as understanding AI systems and contain no Framing or Steering construct,</w:t>
      </w:r>
      <w:r>
        <w:t xml:space="preserve"> </w:t>
      </w:r>
      <w:r>
        <w:t xml:space="preserve">only a diffuse "critical evaluation"; CoRe-3 supplies the task-execution competencies they leave</w:t>
      </w:r>
      <w:r>
        <w:t xml:space="preserve"> </w:t>
      </w:r>
      <w:r>
        <w:t xml:space="preserve">implicit. Metric schemes for human-AI cognition, such as a cognitive-amplification-versus-delegation</w:t>
      </w:r>
      <w:r>
        <w:t xml:space="preserve"> </w:t>
      </w:r>
      <w:r>
        <w:t xml:space="preserve">framework with dependency and drift metrics (Di Santi, 2026), measure the</w:t>
      </w:r>
      <w:r>
        <w:t xml:space="preserve"> </w:t>
      </w:r>
      <w:r>
        <w:rPr>
          <w:i/>
          <w:iCs/>
        </w:rPr>
        <w:t xml:space="preserve">sustainability</w:t>
      </w:r>
      <w:r>
        <w:t xml:space="preserve"> </w:t>
      </w:r>
      <w:r>
        <w:t xml:space="preserve">of reliance</w:t>
      </w:r>
      <w:r>
        <w:t xml:space="preserve"> </w:t>
      </w:r>
      <w:r>
        <w:t xml:space="preserve">rather than teachable skills. Field accounts of how skilled users work, the continuous</w:t>
      </w:r>
      <w:r>
        <w:t xml:space="preserve"> </w:t>
      </w:r>
      <w:r>
        <w:t xml:space="preserve">push-back-and-validate "Cyborg" mode (Randazzo et al., 2025) and the skill-dependence of AI's value at</w:t>
      </w:r>
      <w:r>
        <w:t xml:space="preserve"> </w:t>
      </w:r>
      <w:r>
        <w:t xml:space="preserve">the competence frontier (Dell'Acqua et al., 2023), describe the behaviour that CoRe-3 decomposes into</w:t>
      </w:r>
      <w:r>
        <w:t xml:space="preserve"> </w:t>
      </w:r>
      <w:r>
        <w:t xml:space="preserve">assessable skills.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Table 1 makes the boundary explicit by mapping each nearest prior framework's constructs onto</w:t>
      </w:r>
      <w:r>
        <w:t xml:space="preserve"> </w:t>
      </w:r>
      <w:r>
        <w:t xml:space="preserve">Framing, Judging, and Steering. The recurring pattern is that prior frameworks either (i) omit a</w:t>
      </w:r>
      <w:r>
        <w:t xml:space="preserve"> </w:t>
      </w:r>
      <w:r>
        <w:t xml:space="preserve">construct, or (ii)</w:t>
      </w:r>
      <w:r>
        <w:t xml:space="preserve"> </w:t>
      </w:r>
      <w:r>
        <w:rPr>
          <w:i/>
          <w:iCs/>
        </w:rPr>
        <w:t xml:space="preserve">fuse</w:t>
      </w:r>
      <w:r>
        <w:t xml:space="preserve"> </w:t>
      </w:r>
      <w:r>
        <w:t xml:space="preserve">Framing and Steering into one "prompting/iteration" skill.</w:t>
      </w:r>
    </w:p>
    <w:p>
      <w:pPr>
        <w:pStyle w:val="TableCaption"/>
        <w:spacing w:before="280" w:after="60" w:line="240" w:lineRule="auto"/>
        <w:jc w:val="center"/>
        <w:keepNext/>
        <w:keepLines/>
        <w:widowControl w:val="1"/>
      </w:pPr>
      <w:r>
        <w:rPr>
          <w:b/>
          <w:i/>
        </w:rPr>
        <w:t>Table 1.</w:t>
      </w:r>
      <w:r>
        <w:rPr>
          <w:b w:val="0"/>
          <w:i/>
        </w:rPr>
        <w:t xml:space="preserve"> </w:t>
      </w:r>
      <w:r>
        <w:rPr>
          <w:b w:val="0"/>
          <w:i/>
        </w:rPr>
        <w:t>Where prior frameworks place the three FJS skills (Framing, Judging, Steering).</w:t>
      </w:r>
    </w:p>
    <w:tbl>
      <w:tblPr>
        <w:tblStyle w:val="Table"/>
        <w:tblW w:type="pct" w:w="5000"/>
        <w:jc w:val="center"/>
        <w:tblLook w:firstRow="1" w:lastRow="0" w:firstColumn="0" w:lastColumn="0" w:noHBand="0" w:noVBand="0" w:val="0020"/>
        <w:tblLayout w:type="autofit"/>
        <w:tblBorders>
          <w:top w:val="single" w:sz="10" w:color="4F6272"/>
          <w:bottom w:val="single" w:sz="10" w:color="4F6272"/>
          <w:insideH w:val="single" w:sz="5" w:color="9FB0C2"/>
          <w:left w:val="single" w:sz="6" w:color="9FB0C2"/>
          <w:right w:val="single" w:sz="6" w:color="9FB0C2"/>
          <w:insideV w:val="single" w:sz="5" w:color="D9E1E8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Prior framework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Framing (pre-generation)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Judging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Steering (post-generation)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4D AI Fluency (Dakan &amp; Feller, 2025)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Delegation + part of Description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Discernment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i/>
                <w:iCs/>
                <w:sz w:val="19"/>
              </w:rPr>
              <w:t xml:space="preserve">fused into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Description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Metacognitive demands (Tankelevitch et al., 2024)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"prompting" (as a demand, not a skill)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"evaluating outputs"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"workflow iteration"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Prompt literacy / CLEAR (Lo, 2023)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i/>
                <w:iCs/>
                <w:sz w:val="19"/>
              </w:rPr>
              <w:t xml:space="preserve">fused into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"prompting"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weakly present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i/>
                <w:iCs/>
                <w:sz w:val="19"/>
              </w:rPr>
              <w:t xml:space="preserve">fused into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"iterative refinement"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AI literacy (Long &amp; Magerko, 2020; UNESCO, 2024)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absent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diffuse "critical evaluation"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absent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Cyborg/Centaur modes (Randazzo et al., 2025)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"directed" mode (described, not assessed)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"push back / validate"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"continuous dialogue"</w:t>
            </w:r>
          </w:p>
        </w:tc>
      </w:tr>
    </w:tbl>
    <w:p>
      <w:pPr>
        <w:pStyle w:val="BodyText"/>
        <w:spacing w:before="240"/>
        <w:jc w:val="both"/>
        <w:keepNext w:val="0"/>
        <w:keepLines w:val="0"/>
        <w:widowControl w:val="1"/>
      </w:pPr>
      <w:r>
        <w:t xml:space="preserve">No prior column cleanly separates the pre-generation and post-generation skills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treats all</w:t>
      </w:r>
      <w:r>
        <w:t xml:space="preserve"> </w:t>
      </w:r>
      <w:r>
        <w:t xml:space="preserve">three as independently scored competencies. That conjunction is the contribution.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Validated instruments and evaluative judgement.</w:t>
      </w:r>
      <w:r>
        <w:t xml:space="preserve"> </w:t>
      </w:r>
      <w:r>
        <w:t xml:space="preserve">Psychometric GenAI-competence scales such as</w:t>
      </w:r>
      <w:r>
        <w:t xml:space="preserve"> </w:t>
      </w:r>
      <w:r>
        <w:t xml:space="preserve">GenAIComp (Lee et al., 2025) and tests such as GLAT (Jin et al., 2024) establish that GenAI competence</w:t>
      </w:r>
      <w:r>
        <w:t xml:space="preserve"> </w:t>
      </w:r>
      <w:r>
        <w:t xml:space="preserve">is measurable, but their factor structures are literacy-oriented and isolate no Framing, Judging, or</w:t>
      </w:r>
      <w:r>
        <w:t xml:space="preserve"> </w:t>
      </w:r>
      <w:r>
        <w:t xml:space="preserve">Steering construct; the work closest to ours pairs AI-collaboration literacy with metacognition</w:t>
      </w:r>
      <w:r>
        <w:t xml:space="preserve"> </w:t>
      </w:r>
      <w:r>
        <w:t xml:space="preserve">(Sidra &amp; Mason, 2025) yet posits correlated factors rather than demonstrating dissociation. Because</w:t>
      </w:r>
      <w:r>
        <w:t xml:space="preserve"> </w:t>
      </w:r>
      <w:r>
        <w:t xml:space="preserve">rubric-based LLM grading can agree highly with humans yet diverge on subjective criteria</w:t>
      </w:r>
      <w:r>
        <w:t xml:space="preserve"> </w:t>
      </w:r>
      <w:r>
        <w:t xml:space="preserve">(Yavuz et al., 2025), our multitrait-multimethod design across three grader backends (Section 8) treats</w:t>
      </w:r>
      <w:r>
        <w:t xml:space="preserve"> </w:t>
      </w:r>
      <w:r>
        <w:t xml:space="preserve">grader-method variance as a measured term. Our Judging skill operationalizes the evaluative judgement</w:t>
      </w:r>
      <w:r>
        <w:t xml:space="preserve"> </w:t>
      </w:r>
      <w:r>
        <w:t xml:space="preserve">argued to be the core human capability for the AI era (Bearman et al., 2024; Walton et al., 2025):</w:t>
      </w:r>
      <w:r>
        <w:t xml:space="preserve"> </w:t>
      </w:r>
      <w:r>
        <w:t xml:space="preserve">critical evaluation is the highest-load activity in AI-assisted writing (Yao &amp; Fan, 2025) and users</w:t>
      </w:r>
      <w:r>
        <w:t xml:space="preserve"> </w:t>
      </w:r>
      <w:r>
        <w:t xml:space="preserve">default to uncritical acceptance without intervention (Wingerter et al., 2025), which is why we treat</w:t>
      </w:r>
      <w:r>
        <w:t xml:space="preserve"> </w:t>
      </w:r>
      <w:r>
        <w:t xml:space="preserve">it as one of three separable skills rather than one overarching disposition. Among named frameworks,</w:t>
      </w:r>
      <w:r>
        <w:t xml:space="preserve"> </w:t>
      </w:r>
      <w:r>
        <w:t xml:space="preserve">the eight-dimension AI Quotient (Ganuthula &amp; Balaraman, 2025) leaves prompt-engineering fused, whereas</w:t>
      </w:r>
      <w:r>
        <w:t xml:space="preserve"> </w:t>
      </w:r>
      <w:r>
        <w:t xml:space="preserve">CoRe-3 splits it into pre-generation Framing and post-generation Steering; assessment-mode partitions of</w:t>
      </w:r>
      <w:r>
        <w:t xml:space="preserve"> </w:t>
      </w:r>
      <w:r>
        <w:t xml:space="preserve">coursework (Elshall &amp; Badir, 2025) are orthogonal and complementary.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Problem formulation as the AI-era skill.</w:t>
      </w:r>
      <w:r>
        <w:t xml:space="preserve"> </w:t>
      </w:r>
      <w:r>
        <w:t xml:space="preserve">As models absorb execution, a prominent strand argues the</w:t>
      </w:r>
      <w:r>
        <w:t xml:space="preserve"> </w:t>
      </w:r>
      <w:r>
        <w:t xml:space="preserve">durable human skill shifts to</w:t>
      </w:r>
      <w:r>
        <w:t xml:space="preserve"> </w:t>
      </w:r>
      <w:r>
        <w:rPr>
          <w:i/>
          <w:iCs/>
        </w:rPr>
        <w:t xml:space="preserve">problem formulation</w:t>
      </w:r>
      <w:r>
        <w:t xml:space="preserve"> </w:t>
      </w:r>
      <w:r>
        <w:t xml:space="preserve">(Acar, 2023), precisely our Framing construct;</w:t>
      </w:r>
      <w:r>
        <w:t xml:space="preserve"> </w:t>
      </w:r>
      <w:r>
        <w:t xml:space="preserve">classroom work assesses it through prompt problems (Denny et al., 2024), question formulation</w:t>
      </w:r>
      <w:r>
        <w:t xml:space="preserve"> </w:t>
      </w:r>
      <w:r>
        <w:t xml:space="preserve">(Kim et al., 2025), and problem decomposition (Srinath et al., 2025), and the older problem-finding</w:t>
      </w:r>
      <w:r>
        <w:t xml:space="preserve"> </w:t>
      </w:r>
      <w:r>
        <w:t xml:space="preserve">literature established it as separable from problem solving (Runco &amp; Chand, 1995). We build on this</w:t>
      </w:r>
      <w:r>
        <w:t xml:space="preserve"> </w:t>
      </w:r>
      <w:r>
        <w:t xml:space="preserve">strand by placing Framing in a measured loop with Judging and Steering.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One-line novelty.</w:t>
      </w:r>
      <w:r>
        <w:t xml:space="preserve"> </w:t>
      </w:r>
      <w:r>
        <w:t xml:space="preserve">CoRe-3 is, to our knowledge, the first theoretically-grounded decomposition</w:t>
      </w:r>
      <w:r>
        <w:t xml:space="preserve"> </w:t>
      </w:r>
      <w:r>
        <w:t xml:space="preserve">of productive generative-AI use into three independently-assessable competencies that separates</w:t>
      </w:r>
      <w:r>
        <w:t xml:space="preserve"> </w:t>
      </w:r>
      <w:r>
        <w:t xml:space="preserve">pre-generation Framing from post-generation Steering, with feasibility evidence that the three skills</w:t>
      </w:r>
      <w:r>
        <w:t xml:space="preserve"> </w:t>
      </w:r>
      <w:r>
        <w:t xml:space="preserve">dissociate. The contribution is the</w:t>
      </w:r>
      <w:r>
        <w:t xml:space="preserve"> </w:t>
      </w:r>
      <w:r>
        <w:rPr>
          <w:i/>
          <w:iCs/>
        </w:rPr>
        <w:t xml:space="preserve">separation</w:t>
      </w:r>
      <w:r>
        <w:t xml:space="preserve"> </w:t>
      </w:r>
      <w:r>
        <w:t xml:space="preserve">itself, which is both theoretically motivated</w:t>
      </w:r>
      <w:r>
        <w:t xml:space="preserve"> </w:t>
      </w:r>
      <w:r>
        <w:t xml:space="preserve">(monitor-control plus an upstream task definition) and empirically consequential (the skills can be</w:t>
      </w:r>
      <w:r>
        <w:t xml:space="preserve"> </w:t>
      </w:r>
      <w:r>
        <w:t xml:space="preserve">measured apart).</w:t>
      </w:r>
    </w:p>
    <w:bookmarkEnd w:id="24"/>
    <w:bookmarkStart w:id="26" w:name="X1a2afd3c43fe6521ab583bbf3f54e3e56adb41a"/>
    <w:p>
      <w:pPr>
        <w:pStyle w:val="Heading2"/>
        <w:keepNext/>
        <w:keepLines/>
        <w:widowControl w:val="1"/>
      </w:pPr>
      <w:r>
        <w:t xml:space="preserve">7. The assessment system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framework is instantiated in a runnable open-source web platform (name and repository withheld for anonymous review) that maps the</w:t>
      </w:r>
      <w:r>
        <w:t xml:space="preserve"> </w:t>
      </w:r>
      <w:r>
        <w:t xml:space="preserve">abstract skills onto a concrete learner experience. It is a Node/Express application with role-based</w:t>
      </w:r>
      <w:r>
        <w:t xml:space="preserve"> </w:t>
      </w:r>
      <w:r>
        <w:t xml:space="preserve">access (student, instructor, administrator), a challenge database, practice and assessment modes,</w:t>
      </w:r>
      <w:r>
        <w:t xml:space="preserve"> </w:t>
      </w:r>
      <w:r>
        <w:t xml:space="preserve">multiple-choice and open-ended response formats, and a five-language content library (English, Hebrew,</w:t>
      </w:r>
      <w:r>
        <w:t xml:space="preserve"> </w:t>
      </w:r>
      <w:r>
        <w:t xml:space="preserve">German, Spanish, French). Its full source, the web application, the database schema, the content</w:t>
      </w:r>
      <w:r>
        <w:t xml:space="preserve"> </w:t>
      </w:r>
      <w:r>
        <w:t xml:space="preserve">library, and the</w:t>
      </w:r>
      <w:r>
        <w:t xml:space="preserve"> </w:t>
      </w:r>
      <w:r>
        <w:rPr>
          <w:i/>
          <w:iCs/>
        </w:rPr>
        <w:t xml:space="preserve">scoring engine</w:t>
      </w:r>
      <w:r>
        <w:t xml:space="preserve"> </w:t>
      </w:r>
      <w:r>
        <w:t xml:space="preserve">of 16 prompts (Section 7.1), is released, alongside a</w:t>
      </w:r>
      <w:r>
        <w:t xml:space="preserve"> </w:t>
      </w:r>
      <w:r>
        <w:t xml:space="preserve">pedagogical-foundations document; the Additional file 1 walks through the running system. All</w:t>
      </w:r>
      <w:r>
        <w:t xml:space="preserve"> </w:t>
      </w:r>
      <w:r>
        <w:t xml:space="preserve">challenges evaluated here are English-language (Section 9.2), and the quantitative results come from the</w:t>
      </w:r>
      <w:r>
        <w:t xml:space="preserve"> </w:t>
      </w:r>
      <w:r>
        <w:t xml:space="preserve">scoring engine over controlled inputs, not production logs.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Because challenge generation, rubric generation, and scoring are themselves prompt-defined, the engine</w:t>
      </w:r>
      <w:r>
        <w:t xml:space="preserve"> </w:t>
      </w:r>
      <w:r>
        <w:t xml:space="preserve">extends to a new subject, language, or grader backend by substitution rather than redesign, and the</w:t>
      </w:r>
      <w:r>
        <w:t xml:space="preserve"> </w:t>
      </w:r>
      <w:r>
        <w:t xml:space="preserve">released artifact lets others add their own. The platform is therefore</w:t>
      </w:r>
      <w:r>
        <w:t xml:space="preserve"> </w:t>
      </w:r>
      <w:r>
        <w:rPr>
          <w:b/>
          <w:bCs/>
        </w:rPr>
        <w:t xml:space="preserve">domain-general</w:t>
      </w:r>
      <w:r>
        <w:t xml:space="preserve">: not a</w:t>
      </w:r>
      <w:r>
        <w:t xml:space="preserve"> </w:t>
      </w:r>
      <w:r>
        <w:t xml:space="preserve">computing-education tool but a generic instrument for any discipline in which a learner must specify an</w:t>
      </w:r>
      <w:r>
        <w:t xml:space="preserve"> </w:t>
      </w:r>
      <w:r>
        <w:t xml:space="preserve">ill-defined task, judge a fallible solution, and steer it toward a better one. Its released content</w:t>
      </w:r>
      <w:r>
        <w:t xml:space="preserve"> </w:t>
      </w:r>
      <w:r>
        <w:t xml:space="preserve">already spans</w:t>
      </w:r>
      <w:r>
        <w:t xml:space="preserve"> </w:t>
      </w:r>
      <w:r>
        <w:rPr>
          <w:b/>
          <w:bCs/>
        </w:rPr>
        <w:t xml:space="preserve">12 disciplines</w:t>
      </w:r>
      <w:r>
        <w:t xml:space="preserve"> </w:t>
      </w:r>
      <w:r>
        <w:t xml:space="preserve">across STEM, the social sciences, the humanities, law, and</w:t>
      </w:r>
      <w:r>
        <w:t xml:space="preserve"> </w:t>
      </w:r>
      <w:r>
        <w:t xml:space="preserve">professional fields (Additional file 1). An educator authors a challenge by naming a subject; the</w:t>
      </w:r>
      <w:r>
        <w:t xml:space="preserve"> </w:t>
      </w:r>
      <w:r>
        <w:t xml:space="preserve">system generates the ill-defined problem, the three per-skill rubrics, and the seeded-flaw solution.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Authoring flow (instructor).</w:t>
      </w:r>
      <w:r>
        <w:t xml:space="preserve"> </w:t>
      </w:r>
      <w:r>
        <w:t xml:space="preserve">An instructor defines a challenge by choosing a course and subject</w:t>
      </w:r>
      <w:r>
        <w:t xml:space="preserve"> </w:t>
      </w:r>
      <w:r>
        <w:t xml:space="preserve">path; the system then generates the ill-defined problem, the three per-skill rubrics, the gold-standard</w:t>
      </w:r>
      <w:r>
        <w:t xml:space="preserve"> </w:t>
      </w:r>
      <w:r>
        <w:t xml:space="preserve">framing, and the seeded-flaw solution that the learner will critique (Section 7.1). Challenges are</w:t>
      </w:r>
      <w:r>
        <w:t xml:space="preserve"> </w:t>
      </w:r>
      <w:r>
        <w:t xml:space="preserve">organized into courses and can be assigned to cohorts.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Learner flow (student).</w:t>
      </w:r>
      <w:r>
        <w:t xml:space="preserve"> </w:t>
      </w:r>
      <w:r>
        <w:t xml:space="preserve">A student enters a challenge run with two phases, walked through step by</w:t>
      </w:r>
      <w:r>
        <w:t xml:space="preserve"> </w:t>
      </w:r>
      <w:r>
        <w:t xml:space="preserve">step in the Additional file 1. In Phase 1 (Framing) the student refines the raw ill-defined problem,</w:t>
      </w:r>
      <w:r>
        <w:t xml:space="preserve"> </w:t>
      </w:r>
      <w:r>
        <w:t xml:space="preserve">by writing refinement sections (assumptions, constraints, clarifications, success metrics) or selecting</w:t>
      </w:r>
      <w:r>
        <w:t xml:space="preserve"> </w:t>
      </w:r>
      <w:r>
        <w:t xml:space="preserve">them in multiple-choice mode, and receives rubric-driven Framing feedback and a grade. The system then</w:t>
      </w:r>
      <w:r>
        <w:t xml:space="preserve"> </w:t>
      </w:r>
      <w:r>
        <w:t xml:space="preserve">produces a plausible but deliberately flawed solution. In Phase 2 the student repeatedly</w:t>
      </w:r>
      <w:r>
        <w:t xml:space="preserve"> </w:t>
      </w:r>
      <w:r>
        <w:rPr>
          <w:b/>
          <w:bCs/>
        </w:rPr>
        <w:t xml:space="preserve">judges</w:t>
      </w:r>
      <w:r>
        <w:t xml:space="preserve"> </w:t>
      </w:r>
      <w:r>
        <w:t xml:space="preserve">the</w:t>
      </w:r>
      <w:r>
        <w:t xml:space="preserve"> </w:t>
      </w:r>
      <w:r>
        <w:t xml:space="preserve">current output (flagging its issues) and</w:t>
      </w:r>
      <w:r>
        <w:t xml:space="preserve"> </w:t>
      </w:r>
      <w:r>
        <w:rPr>
          <w:b/>
          <w:bCs/>
        </w:rPr>
        <w:t xml:space="preserve">steers</w:t>
      </w:r>
      <w:r>
        <w:t xml:space="preserve"> </w:t>
      </w:r>
      <w:r>
        <w:t xml:space="preserve">the AI (issuing correction commands), up to a</w:t>
      </w:r>
      <w:r>
        <w:t xml:space="preserve"> </w:t>
      </w:r>
      <w:r>
        <w:t xml:space="preserve">configured maximum, and marks the task complete when satisfied. Framing, Judging, and Steering are</w:t>
      </w:r>
      <w:r>
        <w:t xml:space="preserve"> </w:t>
      </w:r>
      <w:r>
        <w:t xml:space="preserve">scored separately, each with its own rubric-driven feedback, and surfaced in a per-challenge report and</w:t>
      </w:r>
      <w:r>
        <w:t xml:space="preserve"> </w:t>
      </w:r>
      <w:r>
        <w:t xml:space="preserve">longitudinal analytics that track the three skills independently. This separation in the interface,</w:t>
      </w:r>
      <w:r>
        <w:t xml:space="preserve"> </w:t>
      </w:r>
      <w:r>
        <w:t xml:space="preserve">distinct phases, feedback channels, and grade columns, is the framework's central claim made</w:t>
      </w:r>
      <w:r>
        <w:t xml:space="preserve"> </w:t>
      </w:r>
      <w:r>
        <w:t xml:space="preserve">operational: a learner sees, and is scored on, three different things, not one undifferentiated</w:t>
      </w:r>
      <w:r>
        <w:t xml:space="preserve"> </w:t>
      </w:r>
      <w:r>
        <w:t xml:space="preserve">"AI use." The remainder of this section describes the instrument that produces those scores.</w:t>
      </w:r>
    </w:p>
    <w:bookmarkStart w:id="25" w:name="Xda76768f9859ddfff08169db8cdc74bf43af05b"/>
    <w:p>
      <w:pPr>
        <w:pStyle w:val="Heading3"/>
        <w:keepNext/>
        <w:keepLines/>
        <w:widowControl w:val="1"/>
      </w:pPr>
      <w:r>
        <w:t xml:space="preserve">7.1 Operationalization: the assessment instrument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To show that the three constructs are not only conceptually distinct but practically measurable, we</w:t>
      </w:r>
      <w:r>
        <w:t xml:space="preserve"> </w:t>
      </w:r>
      <w:r>
        <w:t xml:space="preserve">describe a working instrument that scores each skill from a learner's transcript. The instrument is a</w:t>
      </w:r>
      <w:r>
        <w:t xml:space="preserve"> </w:t>
      </w:r>
      <w:r>
        <w:t xml:space="preserve">pipeline of large-language-model prompts; we use it here as an existence proof that automated,</w:t>
      </w:r>
      <w:r>
        <w:t xml:space="preserve"> </w:t>
      </w:r>
      <w:r>
        <w:t xml:space="preserve">rubric-driven scoring of Framing, Judging, and Steering is feasible, not as a validated assessment.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Challenge construction.</w:t>
      </w:r>
      <w:r>
        <w:t xml:space="preserve"> </w:t>
      </w:r>
      <w:r>
        <w:t xml:space="preserve">Each challenge begins with a deliberately ill-defined problem generated to</w:t>
      </w:r>
      <w:r>
        <w:t xml:space="preserve"> </w:t>
      </w:r>
      <w:r>
        <w:t xml:space="preserve">contain two or three unstated gaps, recorded internally but never shown. A per-challenge set of three</w:t>
      </w:r>
      <w:r>
        <w:t xml:space="preserve"> </w:t>
      </w:r>
      <w:r>
        <w:t xml:space="preserve">rubrics, one each for Framing, Judging, and Steering, is generated for the subject area, each with</w:t>
      </w:r>
      <w:r>
        <w:t xml:space="preserve"> </w:t>
      </w:r>
      <w:r>
        <w:t xml:space="preserve">three to five measurable criteria and explicit excellent and poor indicators. A gold-standard "best</w:t>
      </w:r>
      <w:r>
        <w:t xml:space="preserve"> </w:t>
      </w:r>
      <w:r>
        <w:t xml:space="preserve">framing" is generated as an internal reference. The design instantiates an inverted cognitive</w:t>
      </w:r>
      <w:r>
        <w:t xml:space="preserve"> </w:t>
      </w:r>
      <w:r>
        <w:t xml:space="preserve">apprenticeship: rather than observing an expert, the learner is given a fallible artifact to repair.</w:t>
      </w:r>
      <w:r>
        <w:t xml:space="preserve"> </w:t>
      </w:r>
      <w:r>
        <w:t xml:space="preserve">This connects the instrument to the instructional literature on learning from errors and erroneous</w:t>
      </w:r>
      <w:r>
        <w:t xml:space="preserve"> </w:t>
      </w:r>
      <w:r>
        <w:t xml:space="preserve">examples, in which studying and correcting flawed solutions improves error detection and conceptual</w:t>
      </w:r>
      <w:r>
        <w:t xml:space="preserve"> </w:t>
      </w:r>
      <w:r>
        <w:t xml:space="preserve">understanding relative to studying only correct ones (Große &amp; Renkl, 2007; Durkin &amp; Rittle-Johnson,</w:t>
      </w:r>
      <w:r>
        <w:t xml:space="preserve"> </w:t>
      </w:r>
      <w:r>
        <w:t xml:space="preserve">2012); CoRe-3 generalizes that paradigm from static worked examples to an interactive,</w:t>
      </w:r>
      <w:r>
        <w:t xml:space="preserve"> </w:t>
      </w:r>
      <w:r>
        <w:t xml:space="preserve">learner-driven repair loop over AI output.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The deliberately-imperfect output.</w:t>
      </w:r>
      <w:r>
        <w:t xml:space="preserve"> </w:t>
      </w:r>
      <w:r>
        <w:t xml:space="preserve">After the learner frames the task, the model produces a</w:t>
      </w:r>
      <w:r>
        <w:t xml:space="preserve"> </w:t>
      </w:r>
      <w:r>
        <w:t xml:space="preserve">plausible, professional-looking solution that is required to embed two to four non-trivial issues,</w:t>
      </w:r>
      <w:r>
        <w:t xml:space="preserve"> </w:t>
      </w:r>
      <w:r>
        <w:t xml:space="preserve">wrong-but-reasonable assumptions, missing edge cases, or subtle logical errors, each recorded</w:t>
      </w:r>
      <w:r>
        <w:t xml:space="preserve"> </w:t>
      </w:r>
      <w:r>
        <w:t xml:space="preserve">internally with a severity label and none flagged to the learner. Across steering cycles, updates</w:t>
      </w:r>
      <w:r>
        <w:t xml:space="preserve"> </w:t>
      </w:r>
      <w:r>
        <w:t xml:space="preserve">address the learner's commands but may introduce new minor issues, so that difficulty adapts to the</w:t>
      </w:r>
      <w:r>
        <w:t xml:space="preserve"> </w:t>
      </w:r>
      <w:r>
        <w:t xml:space="preserve">quality of steering rather than collapsing to a perfect answer.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Scoring.</w:t>
      </w:r>
      <w:r>
        <w:t xml:space="preserve"> </w:t>
      </w:r>
      <w:r>
        <w:t xml:space="preserve">Each skill is scored in two stages. A skill-specific evaluator assesses the learner's</w:t>
      </w:r>
      <w:r>
        <w:t xml:space="preserve"> </w:t>
      </w:r>
      <w:r>
        <w:t xml:space="preserve">response against the (internal) rubric and produces per-criterion ratings on a three-point scale; a</w:t>
      </w:r>
      <w:r>
        <w:t xml:space="preserve"> </w:t>
      </w:r>
      <w:r>
        <w:t xml:space="preserve">generic grading stage then aggregates those ratings into a final grade, weighting critical criteria</w:t>
      </w:r>
      <w:r>
        <w:t xml:space="preserve"> </w:t>
      </w:r>
      <w:r>
        <w:t xml:space="preserve">more heavily rather than averaging. Crucially, the three evaluators differ in what they compare</w:t>
      </w:r>
      <w:r>
        <w:t xml:space="preserve"> </w:t>
      </w:r>
      <w:r>
        <w:t xml:space="preserve">against: Framing is evaluated against the gold framing and the rubric; Judging is evaluated against the</w:t>
      </w:r>
      <w:r>
        <w:t xml:space="preserve"> </w:t>
      </w:r>
      <w:r>
        <w:t xml:space="preserve">seeded ground-truth issues, yielding a recall/precision signal (issues correctly identified, missed,</w:t>
      </w:r>
      <w:r>
        <w:t xml:space="preserve"> </w:t>
      </w:r>
      <w:r>
        <w:t xml:space="preserve">and falsely flagged); and Steering is evaluated against the trajectory of the output across cycles,</w:t>
      </w:r>
      <w:r>
        <w:t xml:space="preserve"> </w:t>
      </w:r>
      <w:r>
        <w:t xml:space="preserve">rewarding corrections that demonstrably move the solution toward correctness. This is why the skills</w:t>
      </w:r>
      <w:r>
        <w:t xml:space="preserve"> </w:t>
      </w:r>
      <w:r>
        <w:t xml:space="preserve">are measured</w:t>
      </w:r>
      <w:r>
        <w:t xml:space="preserve"> </w:t>
      </w:r>
      <w:r>
        <w:rPr>
          <w:i/>
          <w:iCs/>
        </w:rPr>
        <w:t xml:space="preserve">apart</w:t>
      </w:r>
      <w:r>
        <w:t xml:space="preserve">: each evaluator interrogates a different referent.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The instrument used here is the scoring engine of the platform, a library of 16</w:t>
      </w:r>
      <w:r>
        <w:t xml:space="preserve"> </w:t>
      </w:r>
      <w:r>
        <w:t xml:space="preserve">prompts spanning challenge construction, AI generation, and evaluation (traced in the Supplementary</w:t>
      </w:r>
      <w:r>
        <w:t xml:space="preserve"> </w:t>
      </w:r>
      <w:r>
        <w:t xml:space="preserve">Material). It carries the deployed application's evaluation logic verbatim, the same rubrics, criteria,</w:t>
      </w:r>
      <w:r>
        <w:t xml:space="preserve"> </w:t>
      </w:r>
      <w:r>
        <w:t xml:space="preserve">and system prompts; the research harness (simulated-learner generation, the crossed factorial, and the</w:t>
      </w:r>
      <w:r>
        <w:t xml:space="preserve"> </w:t>
      </w:r>
      <w:r>
        <w:t xml:space="preserve">analysis) only orchestrates that fixed logic over controlled inputs, so the measurements are</w:t>
      </w:r>
      <w:r>
        <w:t xml:space="preserve"> </w:t>
      </w:r>
      <w:r>
        <w:t xml:space="preserve">reproducible and characterize the instrument itself. Because the grader is a language model, the results</w:t>
      </w:r>
      <w:r>
        <w:t xml:space="preserve"> </w:t>
      </w:r>
      <w:r>
        <w:t xml:space="preserve">below characterize the instrument's</w:t>
      </w:r>
      <w:r>
        <w:t xml:space="preserve"> </w:t>
      </w:r>
      <w:r>
        <w:rPr>
          <w:i/>
          <w:iCs/>
        </w:rPr>
        <w:t xml:space="preserve">internal</w:t>
      </w:r>
      <w:r>
        <w:t xml:space="preserve"> </w:t>
      </w:r>
      <w:r>
        <w:t xml:space="preserve">behavior (whether it separates controlled competence</w:t>
      </w:r>
      <w:r>
        <w:t xml:space="preserve"> </w:t>
      </w:r>
      <w:r>
        <w:t xml:space="preserve">levels and dissociates the skills); agreement with human experts is the separate validity question the</w:t>
      </w:r>
      <w:r>
        <w:t xml:space="preserve"> </w:t>
      </w:r>
      <w:r>
        <w:t xml:space="preserve">prepared study in Section 9.3 addresses.</w:t>
      </w:r>
    </w:p>
    <w:bookmarkEnd w:id="25"/>
    <w:bookmarkEnd w:id="26"/>
    <w:bookmarkStart w:id="33" w:name="X4d8e342cb22c9aa3a4677d1e6b5af262e28c318"/>
    <w:p>
      <w:pPr>
        <w:pStyle w:val="Heading2"/>
        <w:keepNext/>
        <w:keepLines/>
        <w:widowControl w:val="1"/>
      </w:pPr>
      <w:r>
        <w:t xml:space="preserve">8. Feasibility demonstration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We exercise the instrument over controlled inputs to test three feasibility claims: that it</w:t>
      </w:r>
      <w:r>
        <w:t xml:space="preserve"> </w:t>
      </w:r>
      <w:r>
        <w:rPr>
          <w:i/>
          <w:iCs/>
        </w:rPr>
        <w:t xml:space="preserve">discriminates</w:t>
      </w:r>
      <w:r>
        <w:t xml:space="preserve"> </w:t>
      </w:r>
      <w:r>
        <w:t xml:space="preserve">competence, that the three skills</w:t>
      </w:r>
      <w:r>
        <w:t xml:space="preserve"> </w:t>
      </w:r>
      <w:r>
        <w:rPr>
          <w:i/>
          <w:iCs/>
        </w:rPr>
        <w:t xml:space="preserve">dissociate</w:t>
      </w:r>
      <w:r>
        <w:t xml:space="preserve"> </w:t>
      </w:r>
      <w:r>
        <w:t xml:space="preserve">(Proposition P3), and that the grader is</w:t>
      </w:r>
      <w:r>
        <w:t xml:space="preserve"> </w:t>
      </w:r>
      <w:r>
        <w:rPr>
          <w:i/>
          <w:iCs/>
        </w:rPr>
        <w:t xml:space="preserve">self-consistent</w:t>
      </w:r>
      <w:r>
        <w:t xml:space="preserve"> </w:t>
      </w:r>
      <w:r>
        <w:t xml:space="preserve">enough to report. The "learners" are simulated personas of controlled per-skill</w:t>
      </w:r>
      <w:r>
        <w:t xml:space="preserve"> </w:t>
      </w:r>
      <w:r>
        <w:t xml:space="preserve">competence, generated by one model (gpt-4o-mini) and graded by a</w:t>
      </w:r>
      <w:r>
        <w:t xml:space="preserve"> </w:t>
      </w:r>
      <w:r>
        <w:rPr>
          <w:i/>
          <w:iCs/>
        </w:rPr>
        <w:t xml:space="preserve">different</w:t>
      </w:r>
      <w:r>
        <w:t xml:space="preserve"> </w:t>
      </w:r>
      <w:r>
        <w:t xml:space="preserve">model (gpt-4o), so that no</w:t>
      </w:r>
      <w:r>
        <w:t xml:space="preserve"> </w:t>
      </w:r>
      <w:r>
        <w:t xml:space="preserve">model grades its own output. These claims concern the instrument; the agreement study with human expert</w:t>
      </w:r>
      <w:r>
        <w:t xml:space="preserve"> </w:t>
      </w:r>
      <w:r>
        <w:t xml:space="preserve">graders is prepared and is the next stage (Section 9.3).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Design.</w:t>
      </w:r>
      <w:r>
        <w:t xml:space="preserve"> </w:t>
      </w:r>
      <w:r>
        <w:t xml:space="preserve">We use a crossed factorial: each of the three skills is independently set to a strong or</w:t>
      </w:r>
      <w:r>
        <w:t xml:space="preserve"> </w:t>
      </w:r>
      <w:r>
        <w:t xml:space="preserve">weak competence level, giving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profiles, crossed with ten challenges across ten distinct</w:t>
      </w:r>
      <w:r>
        <w:t xml:space="preserve"> </w:t>
      </w:r>
      <w:r>
        <w:t xml:space="preserve">subjects (spanning STEM, the social sciences, and the humanities), for 80 simulated learners. Framing</w:t>
      </w:r>
      <w:r>
        <w:t xml:space="preserve"> </w:t>
      </w:r>
      <w:r>
        <w:t xml:space="preserve">and Steering responses are generated by the competence-conditioned learner model; Judging is</w:t>
      </w:r>
      <w:r>
        <w:t xml:space="preserve"> </w:t>
      </w:r>
      <w:r>
        <w:t xml:space="preserve">operationalized by a competence-conditioned selection over the challenge's ground-truth seeded issues (a</w:t>
      </w:r>
      <w:r>
        <w:t xml:space="preserve"> </w:t>
      </w:r>
      <w:r>
        <w:t xml:space="preserve">strong judge flags all real issues and no false ones; a weak judge flags few and adds false ones), which</w:t>
      </w:r>
      <w:r>
        <w:t xml:space="preserve"> </w:t>
      </w:r>
      <w:r>
        <w:t xml:space="preserve">are themselves machine-generated and not yet human-verified. Because the manipulation is per skill, the</w:t>
      </w:r>
      <w:r>
        <w:t xml:space="preserve"> </w:t>
      </w:r>
      <w:r>
        <w:t xml:space="preserve">design separates whether each grade tracks its</w:t>
      </w:r>
      <w:r>
        <w:t xml:space="preserve"> </w:t>
      </w:r>
      <w:r>
        <w:rPr>
          <w:i/>
          <w:iCs/>
        </w:rPr>
        <w:t xml:space="preserve">own</w:t>
      </w:r>
      <w:r>
        <w:t xml:space="preserve"> </w:t>
      </w:r>
      <w:r>
        <w:t xml:space="preserve">skill's competence (discrimination) from whether it</w:t>
      </w:r>
      <w:r>
        <w:t xml:space="preserve"> </w:t>
      </w:r>
      <w:r>
        <w:t xml:space="preserve">is</w:t>
      </w:r>
      <w:r>
        <w:t xml:space="preserve"> </w:t>
      </w:r>
      <w:r>
        <w:rPr>
          <w:i/>
          <w:iCs/>
        </w:rPr>
        <w:t xml:space="preserve">insensitive</w:t>
      </w:r>
      <w:r>
        <w:t xml:space="preserve"> </w:t>
      </w:r>
      <w:r>
        <w:t xml:space="preserve">to the others' (dissociation).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Discrimination.</w:t>
      </w:r>
      <w:r>
        <w:t xml:space="preserve"> </w:t>
      </w:r>
      <w:r>
        <w:t xml:space="preserve">Grades move monotonically with competence: the all-weak profile averages C on every</w:t>
      </w:r>
      <w:r>
        <w:t xml:space="preserve"> </w:t>
      </w:r>
      <w:r>
        <w:t xml:space="preserve">skill, the all-strong profile averages between B and A, and each skill's grade rises when that skill is</w:t>
      </w:r>
      <w:r>
        <w:t xml:space="preserve"> </w:t>
      </w:r>
      <w:r>
        <w:t xml:space="preserve">set to strong. The judging signal is mechanistically transparent: a strong judge flags all of the seeded</w:t>
      </w:r>
      <w:r>
        <w:t xml:space="preserve"> </w:t>
      </w:r>
      <w:r>
        <w:t xml:space="preserve">issues with no false alarms and is graded A; a weak judge flags none and raises false issues and is</w:t>
      </w:r>
      <w:r>
        <w:t xml:space="preserve"> </w:t>
      </w:r>
      <w:r>
        <w:t xml:space="preserve">graded C.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Dissociation (the central result).</w:t>
      </w:r>
      <w:r>
        <w:t xml:space="preserve"> </w:t>
      </w:r>
      <w:r>
        <w:t xml:space="preserve">Table 2 reports, for each graded skill, the change in its mean</w:t>
      </w:r>
      <w:r>
        <w:t xml:space="preserve"> </w:t>
      </w:r>
      <w:r>
        <w:t xml:space="preserve">grade (on a 3-point scale, A=3..C=1) when each skill in turn is moved from weak to strong. The result</w:t>
      </w:r>
      <w:r>
        <w:t xml:space="preserve"> </w:t>
      </w:r>
      <w:r>
        <w:t xml:space="preserve">that carries the claim is the two</w:t>
      </w:r>
      <w:r>
        <w:t xml:space="preserve"> </w:t>
      </w:r>
      <w:r>
        <w:rPr>
          <w:i/>
          <w:iCs/>
        </w:rPr>
        <w:t xml:space="preserve">blind-graded</w:t>
      </w:r>
      <w:r>
        <w:t xml:space="preserve"> </w:t>
      </w:r>
      <w:r>
        <w:t xml:space="preserve">skills, Framing and Steering, whose free-text responses</w:t>
      </w:r>
      <w:r>
        <w:t xml:space="preserve"> </w:t>
      </w:r>
      <w:r>
        <w:t xml:space="preserve">the grader scores without knowing the intended competence: each shows a clear positive own-effect</w:t>
      </w:r>
      <w:r>
        <w:t xml:space="preserve"> </w:t>
      </w:r>
      <w:r>
        <w:t xml:space="preserve">(</w:t>
      </w:r>
      <w:r>
        <w:rPr>
          <w:b/>
          <w:bCs/>
        </w:rPr>
        <w:t xml:space="preserve">+0.62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+0.43</w:t>
      </w:r>
      <w:r>
        <w:t xml:space="preserve">) with near-zero cross-effects, so a simulated learner's two free-text grades</w:t>
      </w:r>
      <w:r>
        <w:t xml:space="preserve"> </w:t>
      </w:r>
      <w:r>
        <w:t xml:space="preserve">move independently. Judging's own-effect (</w:t>
      </w:r>
      <w:r>
        <w:rPr>
          <w:b/>
          <w:bCs/>
        </w:rPr>
        <w:t xml:space="preserve">+2.00</w:t>
      </w:r>
      <w:r>
        <w:t xml:space="preserve">) is large but</w:t>
      </w:r>
      <w:r>
        <w:t xml:space="preserve"> </w:t>
      </w:r>
      <w:r>
        <w:rPr>
          <w:i/>
          <w:iCs/>
        </w:rPr>
        <w:t xml:space="preserve">fixed by construction</w:t>
      </w:r>
      <w:r>
        <w:t xml:space="preserve">: its</w:t>
      </w:r>
      <w:r>
        <w:t xml:space="preserve"> </w:t>
      </w:r>
      <w:r>
        <w:t xml:space="preserve">competence is operationalized by a controlled selection over the challenge's seeded issues, and those</w:t>
      </w:r>
      <w:r>
        <w:t xml:space="preserve"> </w:t>
      </w:r>
      <w:r>
        <w:t xml:space="preserve">seeded issues are themselves machine-generated and not yet human-verified (Section 9.2). We therefore</w:t>
      </w:r>
      <w:r>
        <w:t xml:space="preserve"> </w:t>
      </w:r>
      <w:r>
        <w:t xml:space="preserve">read Judging's clean diagonal as a controlled check that the grader correctly rewards recall and</w:t>
      </w:r>
      <w:r>
        <w:t xml:space="preserve"> </w:t>
      </w:r>
      <w:r>
        <w:t xml:space="preserve">precision, not as independent evidence that the skills separate. The off-diagonal (cross-skill) effects</w:t>
      </w:r>
      <w:r>
        <w:t xml:space="preserve"> </w:t>
      </w:r>
      <w:r>
        <w:t xml:space="preserve">average +0.01 across the matrix, so each grade responds to its own skill and is essentially flat in the</w:t>
      </w:r>
      <w:r>
        <w:t xml:space="preserve"> </w:t>
      </w:r>
      <w:r>
        <w:t xml:space="preserve">others (Figure 3).</w:t>
      </w:r>
    </w:p>
    <w:p>
      <w:pPr>
        <w:pStyle w:val="TableCaption"/>
        <w:spacing w:before="280" w:after="60" w:line="240" w:lineRule="auto"/>
        <w:jc w:val="center"/>
        <w:keepNext/>
        <w:keepLines/>
        <w:widowControl w:val="1"/>
      </w:pPr>
      <w:r>
        <w:rPr>
          <w:b/>
          <w:i/>
        </w:rPr>
        <w:t>Table 2.</w:t>
      </w:r>
      <w:r>
        <w:rPr>
          <w:b w:val="0"/>
          <w:i/>
        </w:rPr>
        <w:t xml:space="preserve"> </w:t>
      </w:r>
      <w:r>
        <w:rPr>
          <w:b w:val="0"/>
          <w:i/>
        </w:rPr>
        <w:t>Effect on each skill's grade of manipulating each skill's competence (grade Δ, strong − weak; N=80).</w:t>
      </w:r>
    </w:p>
    <w:tbl>
      <w:tblPr>
        <w:tblStyle w:val="Table"/>
        <w:tblW w:type="pct" w:w="5000"/>
        <w:jc w:val="center"/>
        <w:tblLook w:firstRow="1" w:lastRow="0" w:firstColumn="0" w:lastColumn="0" w:noHBand="0" w:noVBand="0" w:val="0020"/>
        <w:tblLayout w:type="autofit"/>
        <w:tblBorders>
          <w:top w:val="single" w:sz="10" w:color="4F6272"/>
          <w:bottom w:val="single" w:sz="10" w:color="4F6272"/>
          <w:insideH w:val="single" w:sz="5" w:color="9FB0C2"/>
          <w:left w:val="single" w:sz="6" w:color="9FB0C2"/>
          <w:right w:val="single" w:sz="6" w:color="9FB0C2"/>
          <w:insideV w:val="single" w:sz="5" w:color="D9E1E8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grade of ↓ \ manipulated →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Framing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Judging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Steering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Framing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+0.62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−0.02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−0.07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Judging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+0.00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+2.00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+0.00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Steering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−0.12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+0.27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+0.43</w:t>
            </w:r>
          </w:p>
        </w:tc>
      </w:tr>
    </w:tbl>
    <w:p>
      <w:pPr>
        <w:pStyle w:val="BodyText"/>
        <w:jc w:val="center"/>
        <w:keepNext/>
        <w:keepLines/>
        <w:widowControl w:val="1"/>
      </w:pPr>
      <w:r>
        <w:drawing>
          <wp:inline>
            <wp:extent cx="4600754" cy="3864633"/>
            <wp:effectExtent b="0" l="0" r="0" t="0"/>
            <wp:docPr descr="Figure 3. Own-competence effects dominate cross-competence effects on every skill's grade." title="" id="28" name="Picture"/>
            <a:graphic>
              <a:graphicData uri="http://schemas.openxmlformats.org/drawingml/2006/picture">
                <pic:pic>
                  <pic:nvPicPr>
                    <pic:cNvPr descr="assets/fig_dissociation_heatmap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754" cy="3864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3.</w:t>
      </w:r>
      <w:r>
        <w:rPr>
          <w:b w:val="0"/>
          <w:i/>
        </w:rPr>
        <w:t xml:space="preserve"> </w:t>
      </w:r>
      <w:r>
        <w:rPr>
          <w:b w:val="0"/>
          <w:i/>
        </w:rPr>
        <w:t>Effect of manipulating each skill's competence (columns) on each skill's grade (rows). Each cell is the grade change (strong minus weak) on the 3-point scale (A=3, B=2, C=1); warmer cells are larger positive effects. The diagonal (own-skill effect) dominates; off-diagonal (cross-skill) effects are near zero.</w:t>
      </w:r>
    </w:p>
    <w:p>
      <w:pPr>
        <w:pStyle w:val="BodyText"/>
        <w:jc w:val="center"/>
        <w:keepNext/>
        <w:keepLines/>
        <w:widowControl w:val="1"/>
      </w:pPr>
      <w:r>
        <w:drawing>
          <wp:inline>
            <wp:extent cx="5943600" cy="3302000"/>
            <wp:effectExtent b="0" l="0" r="0" t="0"/>
            <wp:docPr descr="Figure 4. Per-skill grades dissociate by competence profile." title="" id="31" name="Picture"/>
            <a:graphic>
              <a:graphicData uri="http://schemas.openxmlformats.org/drawingml/2006/picture">
                <pic:pic>
                  <pic:nvPicPr>
                    <pic:cNvPr descr="assets/fig_contrasts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4.</w:t>
      </w:r>
      <w:r>
        <w:rPr>
          <w:b w:val="0"/>
          <w:i/>
        </w:rPr>
        <w:t xml:space="preserve"> </w:t>
      </w:r>
      <w:r>
        <w:rPr>
          <w:b w:val="0"/>
          <w:i/>
        </w:rPr>
        <w:t>Mean per-skill grade for five competence profiles. Judging reaches A only when judging is strong, regardless of framing or steering; each skill responds to its own competence.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The diagonal (own-skill) effects are statistically reliable: bootstrap 95% confidence intervals</w:t>
      </w:r>
      <w:r>
        <w:t xml:space="preserve"> </w:t>
      </w:r>
      <w:r>
        <w:t xml:space="preserve">(2,000 resamples) exclude zero for Framing (+0.62, CI [+0.46, +0.77]) and Steering (+0.43, CI</w:t>
      </w:r>
      <w:r>
        <w:t xml:space="preserve"> </w:t>
      </w:r>
      <w:r>
        <w:t xml:space="preserve">[+0.20, +0.65]); Judging is deterministic by construction (+2.00). The same separation appears in the</w:t>
      </w:r>
      <w:r>
        <w:t xml:space="preserve"> </w:t>
      </w:r>
      <w:r>
        <w:t xml:space="preserve">inter-skill grade correlations across the 80 learners: Framing-Judging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0.03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0.82</m:t>
        </m:r>
      </m:oMath>
      <w:r>
        <w:t xml:space="preserve">) and</w:t>
      </w:r>
      <w:r>
        <w:t xml:space="preserve"> </w:t>
      </w:r>
      <w:r>
        <w:t xml:space="preserve">Framing-Steering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0.12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0.29</m:t>
        </m:r>
      </m:oMath>
      <w:r>
        <w:t xml:space="preserve">) are both non-significant, while Judging-Steering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t>0.25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0.02</m:t>
        </m:r>
      </m:oMath>
      <w:r>
        <w:t xml:space="preserve">) is positive and significant. The</w:t>
      </w:r>
      <w:r>
        <w:t xml:space="preserve"> </w:t>
      </w:r>
      <w:r>
        <w:rPr>
          <w:b/>
          <w:bCs/>
        </w:rPr>
        <w:t xml:space="preserve">Framing-Judging</w:t>
      </w:r>
      <w:r>
        <w:t xml:space="preserve"> </w:t>
      </w:r>
      <w:r>
        <w:t xml:space="preserve">pair is the decisive</w:t>
      </w:r>
      <w:r>
        <w:t xml:space="preserve"> </w:t>
      </w:r>
      <w:r>
        <w:t xml:space="preserve">demonstration: these two skills are scored by entirely separate mechanisms (free-text framing</w:t>
      </w:r>
      <w:r>
        <w:t xml:space="preserve"> </w:t>
      </w:r>
      <w:r>
        <w:t xml:space="preserve">evaluation versus issue-selection judging) yet their grades are uncorrelated, which a single</w:t>
      </w:r>
      <w:r>
        <w:t xml:space="preserve"> </w:t>
      </w:r>
      <w:r>
        <w:t xml:space="preserve">general-ability account cannot produce. The Judging-Steering correlation behaves exactly as Proposition</w:t>
      </w:r>
      <w:r>
        <w:t xml:space="preserve"> </w:t>
      </w:r>
      <w:r>
        <w:t xml:space="preserve">P2 predicts, the expected ceiling relation in which judging gates steering, and so is consistent with,</w:t>
      </w:r>
      <w:r>
        <w:t xml:space="preserve"> </w:t>
      </w:r>
      <w:r>
        <w:t xml:space="preserve">rather than evidence against, separability. With only three indicators a formal factor model is</w:t>
      </w:r>
      <w:r>
        <w:t xml:space="preserve"> </w:t>
      </w:r>
      <w:r>
        <w:t xml:space="preserve">under-identified, so we rest the separability evidence on the manipulation-based effect matrix and the</w:t>
      </w:r>
      <w:r>
        <w:t xml:space="preserve"> </w:t>
      </w:r>
      <w:r>
        <w:t xml:space="preserve">inter-skill correlations rather than on a confirmatory dimensionality test.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Convergent and discriminant validity (a multitrait-multimethod view).</w:t>
      </w:r>
      <w:r>
        <w:t xml:space="preserve"> </w:t>
      </w:r>
      <w:r>
        <w:t xml:space="preserve">The result so far is a</w:t>
      </w:r>
      <w:r>
        <w:t xml:space="preserve"> </w:t>
      </w:r>
      <w:r>
        <w:rPr>
          <w:i/>
          <w:iCs/>
        </w:rPr>
        <w:t xml:space="preserve">discriminant</w:t>
      </w:r>
      <w:r>
        <w:t xml:space="preserve">-validity finding: three traits separate. Construct validity also requires the convergent</w:t>
      </w:r>
      <w:r>
        <w:t xml:space="preserve"> </w:t>
      </w:r>
      <w:r>
        <w:t xml:space="preserve">property, that the same skill measured by different methods agrees, and that the instrument reports</w:t>
      </w:r>
      <w:r>
        <w:t xml:space="preserve"> </w:t>
      </w:r>
      <w:r>
        <w:t xml:space="preserve">correlation when the underlying competence really is shared (Campbell &amp; Fiske, 1959). Two analyses</w:t>
      </w:r>
      <w:r>
        <w:t xml:space="preserve"> </w:t>
      </w:r>
      <w:r>
        <w:t xml:space="preserve">supply it. First, we treat the three grader backends (gpt-4o, gpt-4o-mini, and the independent-vendor</w:t>
      </w:r>
      <w:r>
        <w:t xml:space="preserve"> </w:t>
      </w:r>
      <w:r>
        <w:t xml:space="preserve">llama-3.3-70b) as independent methods. For the two skills with the widest grade range, the same skill</w:t>
      </w:r>
      <w:r>
        <w:t xml:space="preserve"> </w:t>
      </w:r>
      <w:r>
        <w:t xml:space="preserve">agrees across graders while</w:t>
      </w:r>
      <w:r>
        <w:t xml:space="preserve"> </w:t>
      </w:r>
      <w:r>
        <w:rPr>
          <w:i/>
          <w:iCs/>
        </w:rPr>
        <w:t xml:space="preserve">different</w:t>
      </w:r>
      <w:r>
        <w:t xml:space="preserve"> </w:t>
      </w:r>
      <w:r>
        <w:t xml:space="preserve">skills stay near zero (Table 3, Panel A), the convergent-high /</w:t>
      </w:r>
      <w:r>
        <w:t xml:space="preserve"> </w:t>
      </w:r>
      <w:r>
        <w:t xml:space="preserve">discriminant-low pattern a valid measure should show. Steering's narrower range under the P2 ceiling</w:t>
      </w:r>
      <w:r>
        <w:t xml:space="preserve"> </w:t>
      </w:r>
      <w:r>
        <w:t xml:space="preserve">gives a lower cross-method correlation, a restriction of variance rather than a separate construct.</w:t>
      </w:r>
      <w:r>
        <w:t xml:space="preserve"> </w:t>
      </w:r>
      <w:r>
        <w:t xml:space="preserve">Across the full matrix the convergent correlations exceed both heterotrait terms and no grader shows</w:t>
      </w:r>
      <w:r>
        <w:t xml:space="preserve"> </w:t>
      </w:r>
      <w:r>
        <w:t xml:space="preserve">halo, so all three Campbell-Fiske criteria hold. Second, the instrument is faithful to the population's</w:t>
      </w:r>
      <w:r>
        <w:t xml:space="preserve"> </w:t>
      </w:r>
      <w:r>
        <w:t xml:space="preserve">dependence structure (Table 3, Panel B): on learners whose competences are set</w:t>
      </w:r>
      <w:r>
        <w:t xml:space="preserve"> </w:t>
      </w:r>
      <w:r>
        <w:rPr>
          <w:i/>
          <w:iCs/>
        </w:rPr>
        <w:t xml:space="preserve">independently</w:t>
      </w:r>
      <w:r>
        <w:t xml:space="preserve"> </w:t>
      </w:r>
      <w:r>
        <w:t xml:space="preserve">the</w:t>
      </w:r>
      <w:r>
        <w:t xml:space="preserve"> </w:t>
      </w:r>
      <w:r>
        <w:t xml:space="preserve">inter-skill grade correlations are near zero, whereas on the 20 learners whose competences are all</w:t>
      </w:r>
      <w:r>
        <w:t xml:space="preserve"> </w:t>
      </w:r>
      <w:r>
        <w:t xml:space="preserve">strong or all weak the same instrument returns</w:t>
      </w:r>
      <w:r>
        <w:t xml:space="preserve"> </w:t>
      </w:r>
      <w:r>
        <w:rPr>
          <w:i/>
          <w:iCs/>
        </w:rPr>
        <w:t xml:space="preserve">positive</w:t>
      </w:r>
      <w:r>
        <w:t xml:space="preserve"> </w:t>
      </w:r>
      <w:r>
        <w:t xml:space="preserve">correlations. It therefore does not</w:t>
      </w:r>
      <w:r>
        <w:t xml:space="preserve"> </w:t>
      </w:r>
      <w:r>
        <w:t xml:space="preserve">manufacture dissociation, recovering independence when the competences are independent and correlation</w:t>
      </w:r>
      <w:r>
        <w:t xml:space="preserve"> </w:t>
      </w:r>
      <w:r>
        <w:t xml:space="preserve">when they are shared, which licenses reading the crossed-design separation as a property of the skills</w:t>
      </w:r>
      <w:r>
        <w:t xml:space="preserve"> </w:t>
      </w:r>
      <w:r>
        <w:t xml:space="preserve">rather than of the scoring.</w:t>
      </w:r>
    </w:p>
    <w:p>
      <w:pPr>
        <w:pStyle w:val="TableCaption"/>
        <w:spacing w:before="280" w:after="60" w:line="240" w:lineRule="auto"/>
        <w:jc w:val="center"/>
        <w:keepNext/>
        <w:keepLines/>
        <w:widowControl w:val="1"/>
      </w:pPr>
      <w:r>
        <w:rPr>
          <w:b/>
          <w:i/>
        </w:rPr>
        <w:t>Table 3.</w:t>
      </w:r>
      <w:r>
        <w:rPr>
          <w:b w:val="0"/>
          <w:i/>
        </w:rPr>
        <w:t xml:space="preserve"> </w:t>
      </w:r>
      <w:r>
        <w:rPr>
          <w:b w:val="0"/>
          <w:i/>
        </w:rPr>
        <w:t>Multitrait-multimethod validity. Panel A: convergent agreement of the same skill across the three grader backends (mean pairwise per-learner rank correlation on the 40 shared transcripts). Panel B: inter-skill grade correlation by population, showing the instrument recovers the population's dependence structure (discriminant on the full crossed design, convergent on the n=20 all-strong and all-weak learners whose three competences share one level).</w:t>
      </w:r>
    </w:p>
    <w:tbl>
      <w:tblPr>
        <w:tblStyle w:val="Table"/>
        <w:tblW w:type="pct" w:w="5000"/>
        <w:jc w:val="center"/>
        <w:tblLook w:firstRow="1" w:lastRow="0" w:firstColumn="0" w:lastColumn="0" w:noHBand="0" w:noVBand="0" w:val="0020"/>
        <w:tblLayout w:type="autofit"/>
        <w:tblBorders>
          <w:top w:val="single" w:sz="10" w:color="4F6272"/>
          <w:bottom w:val="single" w:sz="10" w:color="4F6272"/>
          <w:insideH w:val="single" w:sz="5" w:color="9FB0C2"/>
          <w:left w:val="single" w:sz="6" w:color="9FB0C2"/>
          <w:right w:val="single" w:sz="6" w:color="9FB0C2"/>
          <w:insideV w:val="single" w:sz="5" w:color="D9E1E8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Panel A: cross-grader convergent (</w:t>
            </w:r>
            <m:oMath>
              <m:r>
                <m:t>ρ</m:t>
              </m:r>
            </m:oMath>
            <w:r>
              <w:rPr>
                <w:rFonts w:ascii="Times New Roman" w:hAnsi="Times New Roman"/>
                <w:b/>
                <w:sz w:val="19"/>
              </w:rPr>
              <w:t xml:space="preserve">, 3 backends)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Framing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Judging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Steering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same skill across gpt-4o, gpt-4o-mini, llama-3.3-70b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+0.57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+0.67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+0.21</w:t>
            </w:r>
          </w:p>
        </w:tc>
      </w:tr>
    </w:tbl>
    <w:p/>
    <w:tbl>
      <w:tblPr>
        <w:tblStyle w:val="Table"/>
        <w:tblW w:type="pct" w:w="5000"/>
        <w:jc w:val="center"/>
        <w:tblLook w:firstRow="1" w:lastRow="0" w:firstColumn="0" w:lastColumn="0" w:noHBand="0" w:noVBand="0" w:val="0020"/>
        <w:tblLayout w:type="autofit"/>
        <w:tblBorders>
          <w:top w:val="single" w:sz="10" w:color="4F6272"/>
          <w:bottom w:val="single" w:sz="10" w:color="4F6272"/>
          <w:insideH w:val="single" w:sz="5" w:color="9FB0C2"/>
          <w:left w:val="single" w:sz="6" w:color="9FB0C2"/>
          <w:right w:val="single" w:sz="6" w:color="9FB0C2"/>
          <w:insideV w:val="single" w:sz="5" w:color="D9E1E8"/>
        </w:tblBorders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Panel B: inter-skill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m:oMath>
              <m:r>
                <m:t>ρ</m:t>
              </m:r>
            </m:oMath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 xml:space="preserve">by population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F-J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F-S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J-S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sz w:val="19"/>
              </w:rPr>
              <w:t xml:space="preserve">summary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independent (crossed) competences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−0.03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−0.12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+0.25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mean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m:oMath>
              <m:r>
                <m:rPr>
                  <m:sty m:val="p"/>
                </m:rPr>
                <m:t>|</m:t>
              </m:r>
              <m:r>
                <m:t>ρ</m:t>
              </m:r>
              <m:r>
                <m:rPr>
                  <m:sty m:val="p"/>
                </m:rPr>
                <m:t>|</m:t>
              </m:r>
            </m:oMath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= 0.13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shared single-ability level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+0.52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+0.14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b/>
                <w:bCs/>
                <w:sz w:val="19"/>
              </w:rPr>
              <w:t xml:space="preserve">+0.56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Times New Roman" w:hAnsi="Times New Roman"/>
                <w:sz w:val="19"/>
              </w:rPr>
              <w:t xml:space="preserve">mean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m:oMath>
              <m:r>
                <m:t>ρ</m:t>
              </m:r>
            </m:oMath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= +0.41</w:t>
            </w:r>
          </w:p>
        </w:tc>
      </w:tr>
    </w:tbl>
    <w:p>
      <w:pPr>
        <w:pStyle w:val="BodyText"/>
        <w:spacing w:before="240"/>
        <w:jc w:val="both"/>
        <w:keepNext w:val="0"/>
        <w:keepLines w:val="0"/>
        <w:widowControl w:val="1"/>
      </w:pPr>
      <w:r>
        <w:t xml:space="preserve">The own-skill effects are directionally consistent across subjects: Framing and Steering each show a</w:t>
      </w:r>
      <w:r>
        <w:t xml:space="preserve"> </w:t>
      </w:r>
      <w:r>
        <w:t xml:space="preserve">positive own-competence effect in nine of the 10 subject areas, the two exceptions reflecting the small</w:t>
      </w:r>
      <w:r>
        <w:t xml:space="preserve"> </w:t>
      </w:r>
      <w:r>
        <w:t xml:space="preserve">per-subject sample rather than a sign reversal (Judging is fixed by construction throughout). The</w:t>
      </w:r>
      <w:r>
        <w:t xml:space="preserve"> </w:t>
      </w:r>
      <w:r>
        <w:t xml:space="preserve">designed-contrast personas make the separation concrete (Figure 4): a</w:t>
      </w:r>
      <w:r>
        <w:t xml:space="preserve"> </w:t>
      </w:r>
      <w:r>
        <w:rPr>
          <w:i/>
          <w:iCs/>
        </w:rPr>
        <w:t xml:space="preserve">weak-framer / strong-judge</w:t>
      </w:r>
      <w:r>
        <w:t xml:space="preserve"> </w:t>
      </w:r>
      <w:r>
        <w:t xml:space="preserve">learner scores Framing C but Judging A; a</w:t>
      </w:r>
      <w:r>
        <w:t xml:space="preserve"> </w:t>
      </w:r>
      <w:r>
        <w:rPr>
          <w:i/>
          <w:iCs/>
        </w:rPr>
        <w:t xml:space="preserve">strong-framer / weak-judge</w:t>
      </w:r>
      <w:r>
        <w:t xml:space="preserve"> </w:t>
      </w:r>
      <w:r>
        <w:t xml:space="preserve">learner inverts this; and a</w:t>
      </w:r>
      <w:r>
        <w:t xml:space="preserve"> </w:t>
      </w:r>
      <w:r>
        <w:rPr>
          <w:i/>
          <w:iCs/>
        </w:rPr>
        <w:t xml:space="preserve">weak / weak / strong-steerer</w:t>
      </w:r>
      <w:r>
        <w:t xml:space="preserve"> </w:t>
      </w:r>
      <w:r>
        <w:t xml:space="preserve">elevates only Steering. A single underlying "AI-use ability" cannot</w:t>
      </w:r>
      <w:r>
        <w:t xml:space="preserve"> </w:t>
      </w:r>
      <w:r>
        <w:t xml:space="preserve">produce these crossed profiles. Converging evidence comes from outside our synthetic setting: in an</w:t>
      </w:r>
      <w:r>
        <w:t xml:space="preserve"> </w:t>
      </w:r>
      <w:r>
        <w:t xml:space="preserve">intervention study, students'</w:t>
      </w:r>
      <w:r>
        <w:t xml:space="preserve"> </w:t>
      </w:r>
      <w:r>
        <w:rPr>
          <w:i/>
          <w:iCs/>
        </w:rPr>
        <w:t xml:space="preserve">behavioral</w:t>
      </w:r>
      <w:r>
        <w:t xml:space="preserve"> </w:t>
      </w:r>
      <w:r>
        <w:t xml:space="preserve">regulation of LLM use predicts effective use whereas</w:t>
      </w:r>
      <w:r>
        <w:t xml:space="preserve"> </w:t>
      </w:r>
      <w:r>
        <w:t xml:space="preserve">self-rated AI expertise does not (Clerc et al., 2026), so the skill of working with AI is distinct from</w:t>
      </w:r>
      <w:r>
        <w:t xml:space="preserve"> </w:t>
      </w:r>
      <w:r>
        <w:t xml:space="preserve">a general, self-assessed competence.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Robustness and ablations.</w:t>
      </w:r>
      <w:r>
        <w:t xml:space="preserve"> </w:t>
      </w:r>
      <w:r>
        <w:t xml:space="preserve">Three checks, reported in full in the Additional file 1, support the result. First, the grader is</w:t>
      </w:r>
      <w:r>
        <w:t xml:space="preserve"> </w:t>
      </w:r>
      <w:r>
        <w:rPr>
          <w:b/>
          <w:bCs/>
        </w:rPr>
        <w:t xml:space="preserve">92% self-consistent</w:t>
      </w:r>
      <w:r>
        <w:t xml:space="preserve"> </w:t>
      </w:r>
      <w:r>
        <w:t xml:space="preserve">on repeat, a precision check, not accuracy against humans. Second, the dissociation replicates across three grader backends spanning two providers (gpt-4o, gpt-4o-mini, and Meta's llama-3.3-70b; diagonal-to-off-diagonal ratio 39), so it does not hinge on one model snapshot. Third, a ground-truth ablation shows Framing and Steering are scored by rubric-guided model judgment while Judging, as instrumented, tracks the seeded answer key, which locates the Judging score to settings with known ground truth (Section 9.3 specifies the open-ended variant).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Scope.</w:t>
      </w:r>
      <w:r>
        <w:t xml:space="preserve"> </w:t>
      </w:r>
      <w:r>
        <w:t xml:space="preserve">These results establish feasibility, with four qualifications. Judging's clean diagonal</w:t>
      </w:r>
      <w:r>
        <w:t xml:space="preserve"> </w:t>
      </w:r>
      <w:r>
        <w:t xml:space="preserve">(+2.00, zero cross-effects) is a controlled check by design, so the independent separation evidence is</w:t>
      </w:r>
      <w:r>
        <w:t xml:space="preserve"> </w:t>
      </w:r>
      <w:r>
        <w:t xml:space="preserve">carried by the free-text, blind-graded Framing and Steering (own-effects +0.62 and +0.43 with near-zero</w:t>
      </w:r>
      <w:r>
        <w:t xml:space="preserve"> </w:t>
      </w:r>
      <w:r>
        <w:t xml:space="preserve">cross-effects). The dissociation replicates across grader backends from two providers (Supplementary</w:t>
      </w:r>
      <w:r>
        <w:t xml:space="preserve"> </w:t>
      </w:r>
      <w:r>
        <w:t xml:space="preserve">Material), while agreement with human experts is the validity step the prepared study of Section 9.3</w:t>
      </w:r>
      <w:r>
        <w:t xml:space="preserve"> </w:t>
      </w:r>
      <w:r>
        <w:t xml:space="preserve">supplies. With three constructs the evidence rests on the manipulation-based effect matrix and the</w:t>
      </w:r>
      <w:r>
        <w:t xml:space="preserve"> </w:t>
      </w:r>
      <w:r>
        <w:t xml:space="preserve">inter-skill correlations, the appropriate tests for this design. Finally, Steering's own-effect is</w:t>
      </w:r>
      <w:r>
        <w:t xml:space="preserve"> </w:t>
      </w:r>
      <w:r>
        <w:t xml:space="preserve">governed by the P2 ceiling by design (its quality is bounded by the judging that precedes it); this is a</w:t>
      </w:r>
      <w:r>
        <w:t xml:space="preserve"> </w:t>
      </w:r>
      <w:r>
        <w:t xml:space="preserve">property of the construct, not the grader, since under a deliberately strict steering rubric the effect</w:t>
      </w:r>
      <w:r>
        <w:t xml:space="preserve"> </w:t>
      </w:r>
      <w:r>
        <w:t xml:space="preserve">is unchanged (+0.40 versus +0.50) and the dissociation persists. Human steering data will trace this</w:t>
      </w:r>
      <w:r>
        <w:t xml:space="preserve"> </w:t>
      </w:r>
      <w:r>
        <w:t xml:space="preserve">ceiling directly.</w:t>
      </w:r>
    </w:p>
    <w:bookmarkEnd w:id="33"/>
    <w:bookmarkStart w:id="38" w:name="X7c81bf03759b1b00759d96e3a328e2270cfccbb"/>
    <w:p>
      <w:pPr>
        <w:pStyle w:val="Heading2"/>
        <w:keepNext/>
        <w:keepLines/>
        <w:widowControl w:val="1"/>
      </w:pPr>
      <w:r>
        <w:t xml:space="preserve">9. Discussion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feasibility demonstration establishes that the three skills are separable and automatically scoreable; this section reconciles the tensions the framework raises, bounds the present evidence, and specifies the validation program it invites.</w:t>
      </w:r>
    </w:p>
    <w:bookmarkStart w:id="34" w:name="X9cd38e1771607e53b4b4a0356b4c74bde46c9a2"/>
    <w:p>
      <w:pPr>
        <w:pStyle w:val="Heading3"/>
        <w:keepNext/>
        <w:keepLines/>
        <w:widowControl w:val="1"/>
      </w:pPr>
      <w:r>
        <w:t xml:space="preserve">9.1 Tensions the framework reconciles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Four tensions bear on the framework, each with a resolution within it.</w:t>
      </w:r>
    </w:p>
    <w:p>
      <w:pPr>
        <w:pStyle w:val="BodyText"/>
        <w:jc w:val="both"/>
        <w:keepNext w:val="0"/>
        <w:keepLines w:val="0"/>
        <w:widowControl w:val="1"/>
      </w:pPr>
      <w:r>
        <w:rPr>
          <w:i/>
          <w:iCs/>
        </w:rPr>
        <w:t xml:space="preserve">Offloading versus productive struggle.</w:t>
      </w:r>
      <w:r>
        <w:t xml:space="preserve"> </w:t>
      </w:r>
      <w:r>
        <w:t xml:space="preserve">Evidence that AI use can depress critical thinking through</w:t>
      </w:r>
      <w:r>
        <w:t xml:space="preserve"> </w:t>
      </w:r>
      <w:r>
        <w:t xml:space="preserve">cognitive offloading (Gerlich, 2025; Kosmyna et al., 2025) appears to threaten any framework that</w:t>
      </w:r>
      <w:r>
        <w:t xml:space="preserve"> </w:t>
      </w:r>
      <w:r>
        <w:t xml:space="preserve">puts learners in close partnership with AI. The resolution is in the zone-of-proximal-development</w:t>
      </w:r>
      <w:r>
        <w:t xml:space="preserve"> </w:t>
      </w:r>
      <w:r>
        <w:t xml:space="preserve">stance: CoRe-3 treats the AI as a mediating tool whose purpose is the learner's eventual</w:t>
      </w:r>
      <w:r>
        <w:t xml:space="preserve"> </w:t>
      </w:r>
      <w:r>
        <w:rPr>
          <w:i/>
          <w:iCs/>
        </w:rPr>
        <w:t xml:space="preserve">independence</w:t>
      </w:r>
      <w:r>
        <w:t xml:space="preserve">, and it offloads execution while deliberately retaining the cognitive work of</w:t>
      </w:r>
      <w:r>
        <w:t xml:space="preserve"> </w:t>
      </w:r>
      <w:r>
        <w:t xml:space="preserve">specifying, evaluating, and correcting. The framework is, in this sense, the designed inverse of</w:t>
      </w:r>
      <w:r>
        <w:t xml:space="preserve"> </w:t>
      </w:r>
      <w:r>
        <w:t xml:space="preserve">metacognitive laziness (Proposition P5). Whether exercising the loop actually reduces the offloading</w:t>
      </w:r>
      <w:r>
        <w:t xml:space="preserve"> </w:t>
      </w:r>
      <w:r>
        <w:t xml:space="preserve">signatures is an empirical question this paper does not test; it is reserved for the efficacy study of</w:t>
      </w:r>
      <w:r>
        <w:t xml:space="preserve"> </w:t>
      </w:r>
      <w:r>
        <w:t xml:space="preserve">Section 9.3.</w:t>
      </w:r>
    </w:p>
    <w:p>
      <w:pPr>
        <w:pStyle w:val="BodyText"/>
        <w:jc w:val="both"/>
        <w:keepNext w:val="0"/>
        <w:keepLines w:val="0"/>
        <w:widowControl w:val="1"/>
      </w:pPr>
      <w:r>
        <w:rPr>
          <w:i/>
          <w:iCs/>
        </w:rPr>
        <w:t xml:space="preserve">The calibration trap.</w:t>
      </w:r>
      <w:r>
        <w:t xml:space="preserve"> </w:t>
      </w:r>
      <w:r>
        <w:t xml:space="preserve">Judging is metacognitive monitoring, and monitoring is only useful when</w:t>
      </w:r>
      <w:r>
        <w:t xml:space="preserve"> </w:t>
      </w:r>
      <w:r>
        <w:t xml:space="preserve">calibrated. A learner who lacks the domain knowledge to recognize an error cannot detect that error</w:t>
      </w:r>
      <w:r>
        <w:t xml:space="preserve"> </w:t>
      </w:r>
      <w:r>
        <w:t xml:space="preserve">in AI output, however vigilant. Judging is therefore bounded by domain competence, and the framework</w:t>
      </w:r>
      <w:r>
        <w:t xml:space="preserve"> </w:t>
      </w:r>
      <w:r>
        <w:t xml:space="preserve">should be read as describing a skill that develops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domain knowledge, not as a substitute for it</w:t>
      </w:r>
      <w:r>
        <w:t xml:space="preserve"> </w:t>
      </w:r>
      <w:r>
        <w:t xml:space="preserve">(Proposition P4).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i/>
          <w:iCs/>
        </w:rPr>
        <w:t xml:space="preserve">Interactive is not automatically productive.</w:t>
      </w:r>
      <w:r>
        <w:t xml:space="preserve"> </w:t>
      </w:r>
      <w:r>
        <w:t xml:space="preserve">ICAP predicts that interactive engagement yields the</w:t>
      </w:r>
      <w:r>
        <w:t xml:space="preserve"> </w:t>
      </w:r>
      <w:r>
        <w:t xml:space="preserve">most learning, but rapid AI dialogue can be voluminous and shallow, a sequence of re-rolls rather than</w:t>
      </w:r>
      <w:r>
        <w:t xml:space="preserve"> </w:t>
      </w:r>
      <w:r>
        <w:t xml:space="preserve">reasoning. Steering counts as genuine metacognitive control only when corrections are</w:t>
      </w:r>
      <w:r>
        <w:t xml:space="preserve"> </w:t>
      </w:r>
      <w:r>
        <w:t xml:space="preserve">knowledge-generating, which is why the instrument rewards targeted, convergent corrections rather than</w:t>
      </w:r>
      <w:r>
        <w:t xml:space="preserve"> </w:t>
      </w:r>
      <w:r>
        <w:t xml:space="preserve">mere repetition.</w:t>
      </w:r>
    </w:p>
    <w:p>
      <w:pPr>
        <w:pStyle w:val="BodyText"/>
        <w:jc w:val="both"/>
        <w:keepNext w:val="0"/>
        <w:keepLines w:val="0"/>
        <w:widowControl w:val="1"/>
      </w:pPr>
      <w:r>
        <w:rPr>
          <w:i/>
          <w:iCs/>
        </w:rPr>
        <w:t xml:space="preserve">Standards can regress.</w:t>
      </w:r>
      <w:r>
        <w:t xml:space="preserve"> </w:t>
      </w:r>
      <w:r>
        <w:t xml:space="preserve">Judging and Steering presuppose that the learner holds standards adequate to</w:t>
      </w:r>
      <w:r>
        <w:t xml:space="preserve"> </w:t>
      </w:r>
      <w:r>
        <w:t xml:space="preserve">evaluate the output. When the AI is more competent in the domain than the learner, the standards the</w:t>
      </w:r>
      <w:r>
        <w:t xml:space="preserve"> </w:t>
      </w:r>
      <w:r>
        <w:t xml:space="preserve">learner applies may be inferior to the artifact under review, a reversal that classical</w:t>
      </w:r>
      <w:r>
        <w:t xml:space="preserve"> </w:t>
      </w:r>
      <w:r>
        <w:t xml:space="preserve">formative-assessment theory does not anticipate and that bounds the framework's applicability at the</w:t>
      </w:r>
      <w:r>
        <w:t xml:space="preserve"> </w:t>
      </w:r>
      <w:r>
        <w:t xml:space="preserve">expert frontier.</w:t>
      </w:r>
    </w:p>
    <w:bookmarkEnd w:id="34"/>
    <w:bookmarkStart w:id="35" w:name="Xa9110b14b39a15f11efd4a7059397e4d3b338cc"/>
    <w:p>
      <w:pPr>
        <w:pStyle w:val="Heading3"/>
        <w:keepNext/>
        <w:keepLines/>
        <w:widowControl w:val="1"/>
      </w:pPr>
      <w:r>
        <w:t xml:space="preserve">9.2 Scope and boundary conditions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This is a conceptual contribution with a working instrument, and three boundary conditions</w:t>
      </w:r>
      <w:r>
        <w:t xml:space="preserve"> </w:t>
      </w:r>
      <w:r>
        <w:t xml:space="preserve">define where the present evidence applies. The feasibility demonstration uses simulated learners of</w:t>
      </w:r>
      <w:r>
        <w:t xml:space="preserve"> </w:t>
      </w:r>
      <w:r>
        <w:t xml:space="preserve">controlled competence: they establish that the grader carries signal and that the skills separate, and</w:t>
      </w:r>
      <w:r>
        <w:t xml:space="preserve"> </w:t>
      </w:r>
      <w:r>
        <w:t xml:space="preserve">they set up the human-learner studies of Section 9.3. To keep generation and grading independent,</w:t>
      </w:r>
      <w:r>
        <w:t xml:space="preserve"> </w:t>
      </w:r>
      <w:r>
        <w:t xml:space="preserve">learners are generated by one model (gpt-4o-mini) and graded by another (gpt-4o), and the dissociation</w:t>
      </w:r>
      <w:r>
        <w:t xml:space="preserve"> </w:t>
      </w:r>
      <w:r>
        <w:t xml:space="preserve">replicates across grader backends spanning two providers (Section 8); broadening the grader pool further</w:t>
      </w:r>
      <w:r>
        <w:t xml:space="preserve"> </w:t>
      </w:r>
      <w:r>
        <w:t xml:space="preserve">is part of the validation program. The challenges are English-language, and agreement with human</w:t>
      </w:r>
      <w:r>
        <w:t xml:space="preserve"> </w:t>
      </w:r>
      <w:r>
        <w:t xml:space="preserve">experts is the defined next step (Section 9.3). Two construct-specific boundaries are worth stating.</w:t>
      </w:r>
      <w:r>
        <w:t xml:space="preserve"> </w:t>
      </w:r>
      <w:r>
        <w:t xml:space="preserve">First, Judging as instrumented here is scored against a seeded answer key, so the Judging score applies</w:t>
      </w:r>
      <w:r>
        <w:t xml:space="preserve"> </w:t>
      </w:r>
      <w:r>
        <w:t xml:space="preserve">to settings with known ground truth; open-ended scoring without a key is a distinct instrumentation</w:t>
      </w:r>
      <w:r>
        <w:t xml:space="preserve"> </w:t>
      </w:r>
      <w:r>
        <w:t xml:space="preserve">that Section 9.3 specifies. Second, Steering's signal is governed by the P2 ceiling by design (its</w:t>
      </w:r>
      <w:r>
        <w:t xml:space="preserve"> </w:t>
      </w:r>
      <w:r>
        <w:t xml:space="preserve">quality is capped by the judging it follows), a relation that human steering data will trace directly.</w:t>
      </w:r>
      <w:r>
        <w:t xml:space="preserve"> </w:t>
      </w:r>
      <w:r>
        <w:t xml:space="preserve">What the paper establishes is a theoretically-grounded decomposition with stated propositions, a precise</w:t>
      </w:r>
      <w:r>
        <w:t xml:space="preserve"> </w:t>
      </w:r>
      <w:r>
        <w:t xml:space="preserve">novelty boundary, and evidence that the three constructs are separable and automatically scoreable; the</w:t>
      </w:r>
      <w:r>
        <w:t xml:space="preserve"> </w:t>
      </w:r>
      <w:r>
        <w:t xml:space="preserve">efficacy study of learning outcomes is the next stage of the program.</w:t>
      </w:r>
    </w:p>
    <w:bookmarkEnd w:id="35"/>
    <w:bookmarkStart w:id="36" w:name="Xf6895654d04db058866422aa3d66bea4a80775b"/>
    <w:p>
      <w:pPr>
        <w:pStyle w:val="Heading3"/>
        <w:keepNext/>
        <w:keepLines/>
        <w:widowControl w:val="1"/>
      </w:pPr>
      <w:r>
        <w:t xml:space="preserve">9.3 A validation and assessment agenda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feasibility demonstration shows that the constructs are separable and measurable; it does not</w:t>
      </w:r>
      <w:r>
        <w:t xml:space="preserve"> </w:t>
      </w:r>
      <w:r>
        <w:t xml:space="preserve">establish that the automated grades match expert human judgment, nor that exercising the skills</w:t>
      </w:r>
      <w:r>
        <w:t xml:space="preserve"> </w:t>
      </w:r>
      <w:r>
        <w:t xml:space="preserve">improves learning. We therefore specify the validation program the framework invites, organized as an</w:t>
      </w:r>
      <w:r>
        <w:t xml:space="preserve"> </w:t>
      </w:r>
      <w:r>
        <w:t xml:space="preserve">argument-based validity case in the sense of Messick (1995) and Kane (2013): the present evidence</w:t>
      </w:r>
      <w:r>
        <w:t xml:space="preserve"> </w:t>
      </w:r>
      <w:r>
        <w:t xml:space="preserve">supports the</w:t>
      </w:r>
      <w:r>
        <w:t xml:space="preserve"> </w:t>
      </w:r>
      <w:r>
        <w:rPr>
          <w:i/>
          <w:iCs/>
        </w:rPr>
        <w:t xml:space="preserve">scoring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generalization</w:t>
      </w:r>
      <w:r>
        <w:t xml:space="preserve"> </w:t>
      </w:r>
      <w:r>
        <w:t xml:space="preserve">inferences (the instrument scores consistently and the</w:t>
      </w:r>
      <w:r>
        <w:t xml:space="preserve"> </w:t>
      </w:r>
      <w:r>
        <w:t xml:space="preserve">three constructs separate), while the</w:t>
      </w:r>
      <w:r>
        <w:t xml:space="preserve"> </w:t>
      </w:r>
      <w:r>
        <w:rPr>
          <w:i/>
          <w:iCs/>
        </w:rPr>
        <w:t xml:space="preserve">extrapolation</w:t>
      </w:r>
      <w:r>
        <w:t xml:space="preserve"> </w:t>
      </w:r>
      <w:r>
        <w:t xml:space="preserve">inference (that the scores reflect a human</w:t>
      </w:r>
      <w:r>
        <w:t xml:space="preserve"> </w:t>
      </w:r>
      <w:r>
        <w:t xml:space="preserve">competency that transfers) and the</w:t>
      </w:r>
      <w:r>
        <w:t xml:space="preserve"> </w:t>
      </w:r>
      <w:r>
        <w:rPr>
          <w:i/>
          <w:iCs/>
        </w:rPr>
        <w:t xml:space="preserve">implication</w:t>
      </w:r>
      <w:r>
        <w:t xml:space="preserve"> </w:t>
      </w:r>
      <w:r>
        <w:t xml:space="preserve">inference (that the scores support instructional</w:t>
      </w:r>
      <w:r>
        <w:t xml:space="preserve"> </w:t>
      </w:r>
      <w:r>
        <w:t xml:space="preserve">decisions) remain to be established by the studies below.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First, an instrument-validity study, built and ready to run. Three blind expert raters re-grade a</w:t>
      </w:r>
      <w:r>
        <w:t xml:space="preserve"> </w:t>
      </w:r>
      <w:r>
        <w:t xml:space="preserve">stratified sample of 40 transcripts (covering all eight competence profiles) on the three skills using</w:t>
      </w:r>
      <w:r>
        <w:t xml:space="preserve"> </w:t>
      </w:r>
      <w:r>
        <w:t xml:space="preserve">the per-skill rubrics; inter-rater reliability is reported as ordinal Krippendorff's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(primary,</w:t>
      </w:r>
      <w:r>
        <w:t xml:space="preserve"> </w:t>
      </w:r>
      <w:r>
        <w:t xml:space="preserve">since the grades are ordinal), Fleiss'</w:t>
      </w:r>
      <w:r>
        <w:t xml:space="preserve"> </w:t>
      </w:r>
      <m:oMath>
        <m:r>
          <m:t>κ</m:t>
        </m:r>
      </m:oMath>
      <w:r>
        <w:t xml:space="preserve">, and pairwise Cohen's</w:t>
      </w:r>
      <w:r>
        <w:t xml:space="preserve"> </w:t>
      </w:r>
      <m:oMath>
        <m:r>
          <m:t>κ</m:t>
        </m:r>
      </m:oMath>
      <w:r>
        <w:t xml:space="preserve">, and agreement of the</w:t>
      </w:r>
      <w:r>
        <w:t xml:space="preserve"> </w:t>
      </w:r>
      <w:r>
        <w:t xml:space="preserve">human majority with the automated grade as Cohen's</w:t>
      </w:r>
      <w:r>
        <w:t xml:space="preserve"> </w:t>
      </w:r>
      <m:oMath>
        <m:r>
          <m:t>κ</m:t>
        </m:r>
      </m:oMath>
      <w:r>
        <w:t xml:space="preserve"> </w:t>
      </w:r>
      <w:r>
        <w:t xml:space="preserve">and ordinal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per skill, against the</w:t>
      </w:r>
      <w:r>
        <w:t xml:space="preserve"> </w:t>
      </w:r>
      <w:r>
        <w:t xml:space="preserve">field-typical bar of</w:t>
      </w:r>
      <w:r>
        <w:t xml:space="preserve"> </w:t>
      </w:r>
      <m:oMath>
        <m:r>
          <m:t>0.6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0.8</m:t>
        </m:r>
      </m:oMath>
      <w:r>
        <w:t xml:space="preserve">. With all three raters scoring the same 40 items the agreement</w:t>
      </w:r>
      <w:r>
        <w:t xml:space="preserve"> </w:t>
      </w:r>
      <w:r>
        <w:t xml:space="preserve">estimate has a bootstrap half-width on the order of</w:t>
      </w:r>
      <w:r>
        <w:t xml:space="preserve"> </w:t>
      </w:r>
      <m:oMath>
        <m:r>
          <m:rPr>
            <m:sty m:val="p"/>
          </m:rPr>
          <m:t>±</m:t>
        </m:r>
        <m:r>
          <m:t>0.1</m:t>
        </m:r>
      </m:oMath>
      <w:r>
        <w:t xml:space="preserve">, enough to place each skill inside or</w:t>
      </w:r>
      <w:r>
        <w:t xml:space="preserve"> </w:t>
      </w:r>
      <w:r>
        <w:t xml:space="preserve">outside that band. This step is indispensable rather than a</w:t>
      </w:r>
      <w:r>
        <w:t xml:space="preserve"> </w:t>
      </w:r>
      <w:r>
        <w:t xml:space="preserve">formality: recent work shows that LLM-as-judge agreement with human experts is moderate and</w:t>
      </w:r>
      <w:r>
        <w:t xml:space="preserve"> </w:t>
      </w:r>
      <w:r>
        <w:t xml:space="preserve">task-dependent, sometimes falling to Fleiss'</w:t>
      </w:r>
      <w:r>
        <w:t xml:space="preserve"> </w:t>
      </w:r>
      <m:oMath>
        <m:r>
          <m:t>κ</m:t>
        </m:r>
      </m:oMath>
      <w:r>
        <w:t xml:space="preserve"> </w:t>
      </w:r>
      <w:r>
        <w:t xml:space="preserve">near</w:t>
      </w:r>
      <w:r>
        <w:t xml:space="preserve"> </w:t>
      </w:r>
      <m:oMath>
        <m:r>
          <m:t>0.1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0.3</m:t>
        </m:r>
      </m:oMath>
      <w:r>
        <w:t xml:space="preserve"> </w:t>
      </w:r>
      <w:r>
        <w:t xml:space="preserve">on hard rubric judgments</w:t>
      </w:r>
      <w:r>
        <w:t xml:space="preserve"> </w:t>
      </w:r>
      <w:r>
        <w:t xml:space="preserve">(Feng et al., 2025), so automated grades are validated against humans rather than assumed reliable.</w:t>
      </w:r>
      <w:r>
        <w:t xml:space="preserve"> </w:t>
      </w:r>
      <w:r>
        <w:t xml:space="preserve">The package confronts the recursive calibration threat (who grades the grader) on a second level: because</w:t>
      </w:r>
      <w:r>
        <w:t xml:space="preserve"> </w:t>
      </w:r>
      <w:r>
        <w:t xml:space="preserve">the Judging construct rests on machine-seeded ground-truth issues, a parallel task has the same three</w:t>
      </w:r>
      <w:r>
        <w:t xml:space="preserve"> </w:t>
      </w:r>
      <w:r>
        <w:t xml:space="preserve">raters verify a balanced set of 40 seeded issues (20 real and 20 distractor controls) as genuine flaws,</w:t>
      </w:r>
      <w:r>
        <w:t xml:space="preserve"> </w:t>
      </w:r>
      <w:r>
        <w:t xml:space="preserve">yielding a confirmation rate for the Judging ground truth before its recall/precision signal is trusted.</w:t>
      </w:r>
      <w:r>
        <w:t xml:space="preserve"> </w:t>
      </w:r>
      <w:r>
        <w:t xml:space="preserve">The full package, codebook, per-rater shuffled task files with hidden ground truth, and seed-fixed</w:t>
      </w:r>
      <w:r>
        <w:t xml:space="preserve"> </w:t>
      </w:r>
      <w:r>
        <w:t xml:space="preserve">agreement-scoring scripts, is released and reproducible, so the study runs directly once raters are</w:t>
      </w:r>
      <w:r>
        <w:t xml:space="preserve"> </w:t>
      </w:r>
      <w:r>
        <w:t xml:space="preserve">recruited. Second, a construct-validity</w:t>
      </w:r>
      <w:r>
        <w:t xml:space="preserve"> </w:t>
      </w:r>
      <w:r>
        <w:t xml:space="preserve">study at scale (target of at least 200 real learners) to test Propositions P1 through P4, examining</w:t>
      </w:r>
      <w:r>
        <w:t xml:space="preserve"> </w:t>
      </w:r>
      <w:r>
        <w:t xml:space="preserve">whether Framing, Judging, and Steering dissociate across a learner population and whether the proposed</w:t>
      </w:r>
      <w:r>
        <w:t xml:space="preserve"> </w:t>
      </w:r>
      <w:r>
        <w:t xml:space="preserve">gating relations hold. Third, a grader-robustness study across multiple model backends to separate the framework's</w:t>
      </w:r>
      <w:r>
        <w:t xml:space="preserve"> </w:t>
      </w:r>
      <w:r>
        <w:t xml:space="preserve">signal from any single model's idiosyncrasies. Only an efficacy study with real learners can test</w:t>
      </w:r>
      <w:r>
        <w:t xml:space="preserve"> </w:t>
      </w:r>
      <w:r>
        <w:t xml:space="preserve">Proposition P5 and any learning claim; that is explicitly outside the present scope.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Beyond validity, the framework opens a research program, and one strand can begin before the human</w:t>
      </w:r>
      <w:r>
        <w:t xml:space="preserve"> </w:t>
      </w:r>
      <w:r>
        <w:t xml:space="preserve">studies: external validity can be probed by scoring a released corpus of real student-LLM dialogue, the</w:t>
      </w:r>
      <w:r>
        <w:t xml:space="preserve"> </w:t>
      </w:r>
      <w:r>
        <w:t xml:space="preserve">StudyChat dataset of 16,851 student-ChatGPT interactions from a university course (McNichols et al.,</w:t>
      </w:r>
      <w:r>
        <w:t xml:space="preserve"> </w:t>
      </w:r>
      <w:r>
        <w:t xml:space="preserve">2025), with the per-skill instrument, testing whether Framing, Judging, and Steering are detectable and</w:t>
      </w:r>
      <w:r>
        <w:t xml:space="preserve"> </w:t>
      </w:r>
      <w:r>
        <w:t xml:space="preserve">separable outside the controlled challenge format; StudyChat's own dialogue-act labels (questioning,</w:t>
      </w:r>
      <w:r>
        <w:t xml:space="preserve"> </w:t>
      </w:r>
      <w:r>
        <w:t xml:space="preserve">verification, and editing) align with the three skills and supply an external anchor. Four further</w:t>
      </w:r>
      <w:r>
        <w:t xml:space="preserve"> </w:t>
      </w:r>
      <w:r>
        <w:t xml:space="preserve">directions follow from the propositions: a longitudinal study of whether the three skills develop and</w:t>
      </w:r>
      <w:r>
        <w:t xml:space="preserve"> </w:t>
      </w:r>
      <w:r>
        <w:t xml:space="preserve">persist with practice; an instructional-intervention study testing whether targeted teaching of each</w:t>
      </w:r>
      <w:r>
        <w:t xml:space="preserve"> </w:t>
      </w:r>
      <w:r>
        <w:t xml:space="preserve">skill improves it, building on evidence that students' behavioral regulation of LLM use is trainable</w:t>
      </w:r>
      <w:r>
        <w:t xml:space="preserve"> </w:t>
      </w:r>
      <w:r>
        <w:t xml:space="preserve">(Clerc et al., 2026); a transfer study testing P4's prediction that Framing, the more structural skill,</w:t>
      </w:r>
      <w:r>
        <w:t xml:space="preserve"> </w:t>
      </w:r>
      <w:r>
        <w:t xml:space="preserve">transfers across domains more readily than the domain-bound Judging, a question made tractable by</w:t>
      </w:r>
      <w:r>
        <w:t xml:space="preserve"> </w:t>
      </w:r>
      <w:r>
        <w:t xml:space="preserve">evidence that metacognitive regulation can show far transfer (Wirth et al., 2025); and a mediation study</w:t>
      </w:r>
      <w:r>
        <w:t xml:space="preserve"> </w:t>
      </w:r>
      <w:r>
        <w:t xml:space="preserve">testing whether metacognitive monitoring accuracy predicts Judging, extending findings that calibration</w:t>
      </w:r>
      <w:r>
        <w:t xml:space="preserve"> </w:t>
      </w:r>
      <w:r>
        <w:t xml:space="preserve">predicts subsequent strategy use in computer-based learning (Lee &amp; Bosch, 2025) and tying the construct</w:t>
      </w:r>
      <w:r>
        <w:t xml:space="preserve"> </w:t>
      </w:r>
      <w:r>
        <w:t xml:space="preserve">to its monitor-control grounding.</w:t>
      </w:r>
    </w:p>
    <w:bookmarkEnd w:id="36"/>
    <w:bookmarkStart w:id="37" w:name="X52e1a44e19907b0952b51d1fc9278182b1cd8f0"/>
    <w:p>
      <w:pPr>
        <w:pStyle w:val="Heading3"/>
        <w:keepNext/>
        <w:keepLines/>
        <w:widowControl w:val="1"/>
      </w:pPr>
      <w:r>
        <w:t xml:space="preserve">9.4 Implications for higher-education practice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decomposition is immediately actionable for higher education. An instructor can diagnose</w:t>
      </w:r>
      <w:r>
        <w:t xml:space="preserve"> </w:t>
      </w:r>
      <w:r>
        <w:rPr>
          <w:i/>
          <w:iCs/>
        </w:rPr>
        <w:t xml:space="preserve">which</w:t>
      </w:r>
      <w:r>
        <w:t xml:space="preserve"> </w:t>
      </w:r>
      <w:r>
        <w:t xml:space="preserve">cognitive operation a student's AI use failed at and give per-skill formative feedback, rather than a</w:t>
      </w:r>
      <w:r>
        <w:t xml:space="preserve"> </w:t>
      </w:r>
      <w:r>
        <w:t xml:space="preserve">single "prompting" grade; a programme can define reasoning with generative AI as an assessable learning</w:t>
      </w:r>
      <w:r>
        <w:t xml:space="preserve"> </w:t>
      </w:r>
      <w:r>
        <w:t xml:space="preserve">outcome and track it across a curriculum; and academic-integrity policy can shift from prohibiting AI</w:t>
      </w:r>
      <w:r>
        <w:t xml:space="preserve"> </w:t>
      </w:r>
      <w:r>
        <w:t xml:space="preserve">use toward assessing the framing, judging, and steering that competent use requires. The released,</w:t>
      </w:r>
      <w:r>
        <w:t xml:space="preserve"> </w:t>
      </w:r>
      <w:r>
        <w:t xml:space="preserve">discipline-general platform lets any department instantiate this without building an instrument.</w:t>
      </w:r>
    </w:p>
    <w:bookmarkEnd w:id="37"/>
    <w:bookmarkEnd w:id="38"/>
    <w:bookmarkStart w:id="39" w:name="Xc72408c88f6aa3f318e9c4f077d22b48a39071f"/>
    <w:p>
      <w:pPr>
        <w:pStyle w:val="Heading2"/>
        <w:keepNext/>
        <w:keepLines/>
        <w:widowControl w:val="1"/>
      </w:pPr>
      <w:r>
        <w:t xml:space="preserve">10. Conclusion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task of education in the age of generative AI is not to produce faster answer-getters but to</w:t>
      </w:r>
      <w:r>
        <w:t xml:space="preserve"> </w:t>
      </w:r>
      <w:r>
        <w:t xml:space="preserve">cultivate critical collaborators: learners who can specify a problem worth solving, judge what a</w:t>
      </w:r>
      <w:r>
        <w:t xml:space="preserve"> </w:t>
      </w:r>
      <w:r>
        <w:t xml:space="preserve">machine returns, and steer it toward something better. That capability is teachable only if it can be</w:t>
      </w:r>
      <w:r>
        <w:t xml:space="preserve"> </w:t>
      </w:r>
      <w:r>
        <w:t xml:space="preserve">named and assessed. CoRe-3 offers a decomposition of it into three theoretically-grounded,</w:t>
      </w:r>
      <w:r>
        <w:t xml:space="preserve"> </w:t>
      </w:r>
      <w:r>
        <w:t xml:space="preserve">independently-assessable skills, Framing, Judging, and Steering, separates the pre-generation skill</w:t>
      </w:r>
      <w:r>
        <w:t xml:space="preserve"> </w:t>
      </w:r>
      <w:r>
        <w:t xml:space="preserve">from the post-generation one in a way prior frameworks do not, and shows that the three can be</w:t>
      </w:r>
      <w:r>
        <w:t xml:space="preserve"> </w:t>
      </w:r>
      <w:r>
        <w:t xml:space="preserve">measured apart. Because the decomposition tracks what a person must contribute rather than what today's</w:t>
      </w:r>
      <w:r>
        <w:t xml:space="preserve"> </w:t>
      </w:r>
      <w:r>
        <w:t xml:space="preserve">models cannot yet do, it does not lapse as the models improve: the more capable the system, the more</w:t>
      </w:r>
      <w:r>
        <w:t xml:space="preserve"> </w:t>
      </w:r>
      <w:r>
        <w:t xml:space="preserve">the assessable skill is the framing, judging, and steering of it. We release the model, the instrument,</w:t>
      </w:r>
      <w:r>
        <w:t xml:space="preserve"> </w:t>
      </w:r>
      <w:r>
        <w:t xml:space="preserve">and the validation protocol as a foundation to build on: an open, domain-general platform with which a</w:t>
      </w:r>
      <w:r>
        <w:t xml:space="preserve"> </w:t>
      </w:r>
      <w:r>
        <w:t xml:space="preserve">university educator in any discipline, from algorithms to applied ethics, can assess and train this skill, for the</w:t>
      </w:r>
      <w:r>
        <w:t xml:space="preserve"> </w:t>
      </w:r>
      <w:r>
        <w:t xml:space="preserve">assessment and instruction the moment demands.</w:t>
      </w:r>
    </w:p>
    <w:bookmarkEnd w:id="39"/>
    <w:bookmarkStart w:id="40" w:name="declarations"/>
    <w:p>
      <w:pPr>
        <w:pStyle w:val="Heading2"/>
        <w:keepNext/>
        <w:keepLines/>
        <w:widowControl w:val="1"/>
      </w:pPr>
      <w:r>
        <w:t xml:space="preserve">Declarations</w:t>
      </w:r>
    </w:p>
    <w:p>
      <w:pPr>
        <w:pStyle w:val="FirstParagraph"/>
        <w:jc w:val="both"/>
        <w:keepNext w:val="0"/>
        <w:keepLines w:val="0"/>
        <w:widowControl w:val="1"/>
      </w:pPr>
      <w:r>
        <w:rPr>
          <w:b/>
          <w:bCs/>
        </w:rPr>
        <w:t xml:space="preserve">Availability of data and materials.</w:t>
      </w:r>
      <w:r>
        <w:t xml:space="preserve"> </w:t>
      </w:r>
      <w:r>
        <w:t xml:space="preserve">The assessment instrument (the 16-prompt scoring engine),</w:t>
      </w:r>
      <w:r>
        <w:t xml:space="preserve"> </w:t>
      </w:r>
      <w:r>
        <w:t xml:space="preserve">the experiment data, and the prepared human-rater validation protocol are released in a public</w:t>
      </w:r>
      <w:r>
        <w:t xml:space="preserve"> </w:t>
      </w:r>
      <w:r>
        <w:t xml:space="preserve">repository (URL withheld to preserve anonymous review; available to the editors on request).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Competing interests.</w:t>
      </w:r>
      <w:r>
        <w:t xml:space="preserve"> </w:t>
      </w:r>
      <w:r>
        <w:t xml:space="preserve">The authors declare that they have no competing interests.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Funding.</w:t>
      </w:r>
      <w:r>
        <w:t xml:space="preserve"> </w:t>
      </w:r>
      <w:r>
        <w:t xml:space="preserve">The authors received no specific grant from any funding agency in the public, commercial,</w:t>
      </w:r>
      <w:r>
        <w:t xml:space="preserve"> </w:t>
      </w:r>
      <w:r>
        <w:t xml:space="preserve">or not-for-profit sectors for this research.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Authors' contributions.</w:t>
      </w:r>
      <w:r>
        <w:t xml:space="preserve"> </w:t>
      </w:r>
      <w:r>
        <w:t xml:space="preserve">AA and YA jointly conceived the competency model, designed and implemented</w:t>
      </w:r>
      <w:r>
        <w:t xml:space="preserve"> </w:t>
      </w:r>
      <w:r>
        <w:t xml:space="preserve">the instrument and experiments, analysed and interpreted the results, and drafted and critically revised</w:t>
      </w:r>
      <w:r>
        <w:t xml:space="preserve"> </w:t>
      </w:r>
      <w:r>
        <w:t xml:space="preserve">the manuscript. Both authors read and approved the final manuscript.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Ethics approval and consent to participate.</w:t>
      </w:r>
      <w:r>
        <w:t xml:space="preserve"> </w:t>
      </w:r>
      <w:r>
        <w:t xml:space="preserve">Not applicable. The study reports a feasibility</w:t>
      </w:r>
      <w:r>
        <w:t xml:space="preserve"> </w:t>
      </w:r>
      <w:r>
        <w:t xml:space="preserve">demonstration over model-generated simulated learners and involves no human participants.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Consent for publication.</w:t>
      </w:r>
      <w:r>
        <w:t xml:space="preserve"> </w:t>
      </w:r>
      <w:r>
        <w:t xml:space="preserve">Not applicable.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Use of generative AI.</w:t>
      </w:r>
      <w:r>
        <w:t xml:space="preserve"> </w:t>
      </w:r>
      <w:r>
        <w:t xml:space="preserve">Generative AI is the assessment instrument evaluated in this paper (Section 7.1); no generative-AI tool was used to author the scholarly content of the manuscript.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Acknowledgements.</w:t>
      </w:r>
      <w:r>
        <w:t xml:space="preserve"> </w:t>
      </w:r>
      <w:r>
        <w:t xml:space="preserve">Not applicable.</w:t>
      </w:r>
    </w:p>
    <w:bookmarkEnd w:id="40"/>
    <w:bookmarkStart w:id="41" w:name="additional-files"/>
    <w:p>
      <w:pPr>
        <w:pStyle w:val="Heading2"/>
        <w:keepNext/>
        <w:keepLines/>
        <w:widowControl w:val="1"/>
      </w:pPr>
      <w:r>
        <w:t xml:space="preserve">Additional files</w:t>
      </w:r>
    </w:p>
    <w:p>
      <w:pPr>
        <w:pStyle w:val="FirstParagraph"/>
        <w:jc w:val="both"/>
        <w:keepNext w:val="0"/>
        <w:keepLines w:val="0"/>
        <w:widowControl w:val="1"/>
      </w:pPr>
      <w:r>
        <w:rPr>
          <w:b/>
          <w:bCs/>
        </w:rPr>
        <w:t xml:space="preserve">Additional file 1</w:t>
      </w:r>
      <w:r>
        <w:t xml:space="preserve"> </w:t>
      </w:r>
      <w:r>
        <w:t xml:space="preserve">— File format: DOCX (.docx). Title: Additional file 1, supplementary material. Description: a system walkthrough (screenshots of the running platform and the auto-generation-and-assessment pipeline), robustness and ablations (grader reliability, cross-vendor replication, and the ground-truth ablation), and a cross-disciplinary challenge showcase across twelve disciplines.</w:t>
      </w:r>
    </w:p>
    <w:bookmarkEnd w:id="41"/>
    <w:bookmarkStart w:id="42" w:name="references"/>
    <w:p>
      <w:pPr>
        <w:pStyle w:val="ReferencesHeading"/>
        <w:jc w:val="left"/>
        <w:keepNext/>
        <w:keepLines/>
        <w:widowControl w:val="1"/>
      </w:pPr>
      <w:r>
        <w:t xml:space="preserve">References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1. </w:t>
      </w:r>
      <w:r>
        <w:t xml:space="preserve">Acar, O. A. (2023, June 6). AI prompt engineering isn't the future.</w:t>
      </w:r>
      <w:r>
        <w:t xml:space="preserve"> </w:t>
      </w:r>
      <w:r>
        <w:rPr>
          <w:i/>
          <w:iCs/>
        </w:rPr>
        <w:t xml:space="preserve">Harvard Business Review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2. </w:t>
      </w:r>
      <w:r>
        <w:t xml:space="preserve">Anderson, L. W., &amp; Krathwohl, D. R. (2001). A taxonomy for learning, teaching, and assessing: A revision of Bloom's taxonomy of educational objectives. Longman.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3. </w:t>
      </w:r>
      <w:r>
        <w:t xml:space="preserve">Annapureddy, R., Fornaroli, A., &amp; Gatica-Perez, D. (2024). Generative AI literacy: Twelve defining competencies.</w:t>
      </w:r>
      <w:r>
        <w:t xml:space="preserve"> </w:t>
      </w:r>
      <w:r>
        <w:rPr>
          <w:i/>
          <w:iCs/>
        </w:rPr>
        <w:t xml:space="preserve">Digital Government: Research and Practice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4. </w:t>
      </w:r>
      <w:r>
        <w:t xml:space="preserve">Bansal, G., Wu, T., Zhou, J., Fok, R., Nushi, B., Kamar, E., Ribeiro, M. T., &amp; Weld, D. S. (2021). Does the whole exceed its parts? The effect of AI explanations on complementary team performance.</w:t>
      </w:r>
      <w:r>
        <w:t xml:space="preserve"> </w:t>
      </w:r>
      <w:r>
        <w:rPr>
          <w:i/>
          <w:iCs/>
        </w:rPr>
        <w:t xml:space="preserve">Proceedings of the 2021 CHI Conference on Human Factors in Computing Systems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5. </w:t>
      </w:r>
      <w:r>
        <w:t xml:space="preserve">Barzilai, S., &amp; Chinn, C. A. (2018). On the goals of epistemic education: Promoting apt epistemic performance.</w:t>
      </w:r>
      <w:r>
        <w:t xml:space="preserve"> </w:t>
      </w:r>
      <w:r>
        <w:rPr>
          <w:i/>
          <w:iCs/>
        </w:rPr>
        <w:t xml:space="preserve">Journal of the Learning Sciences, 27</w:t>
      </w:r>
      <w:r>
        <w:t xml:space="preserve">(3), 353–389.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6. </w:t>
      </w:r>
      <w:r>
        <w:t xml:space="preserve">Bearman, M., Tai, J., Dawson, P., Boud, D., &amp; Ajjawi, R. (2024). Developing evaluative judgement for a time of generative artificial intelligence.</w:t>
      </w:r>
      <w:r>
        <w:t xml:space="preserve"> </w:t>
      </w:r>
      <w:r>
        <w:rPr>
          <w:i/>
          <w:iCs/>
        </w:rPr>
        <w:t xml:space="preserve">Assessment &amp; Evaluation in Higher Education, 49</w:t>
      </w:r>
      <w:r>
        <w:t xml:space="preserve">(6), 893–905. https://doi.org/10.1080/02602938.2024.2335321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7. </w:t>
      </w:r>
      <w:r>
        <w:t xml:space="preserve">Bjork, E. L., &amp; Bjork, R. A. (2011). Making things hard on yourself, but in a good way: Creating desirable difficulties to enhance learning.</w:t>
      </w:r>
      <w:r>
        <w:t xml:space="preserve"> </w:t>
      </w:r>
      <w:r>
        <w:rPr>
          <w:i/>
          <w:iCs/>
        </w:rPr>
        <w:t xml:space="preserve">Psychology and the Real World</w:t>
      </w:r>
      <w:r>
        <w:t xml:space="preserve">, 56–64.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8. </w:t>
      </w:r>
      <w:r>
        <w:t xml:space="preserve">Buçinca, Z., Malaya, M. B., &amp; Gajos, K. Z. (2021). To trust or to think: Cognitive forcing functions can reduce overreliance on AI in AI-assisted decision-making.</w:t>
      </w:r>
      <w:r>
        <w:t xml:space="preserve"> </w:t>
      </w:r>
      <w:r>
        <w:rPr>
          <w:i/>
          <w:iCs/>
        </w:rPr>
        <w:t xml:space="preserve">Proceedings of the ACM on Human-Computer Interaction, 5</w:t>
      </w:r>
      <w:r>
        <w:t xml:space="preserve">(CSCW1), 1–21.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9. </w:t>
      </w:r>
      <w:r>
        <w:t xml:space="preserve">Campbell, D. T., &amp; Fiske, D. W. (1959). Convergent and discriminant validation by the multitrait-multimethod matrix.</w:t>
      </w:r>
      <w:r>
        <w:t xml:space="preserve"> </w:t>
      </w:r>
      <w:r>
        <w:rPr>
          <w:i/>
          <w:iCs/>
        </w:rPr>
        <w:t xml:space="preserve">Psychological Bulletin, 56</w:t>
      </w:r>
      <w:r>
        <w:t xml:space="preserve">(2), 81–105.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10. </w:t>
      </w:r>
      <w:r>
        <w:t xml:space="preserve">Chi, M. T. H., &amp; Wylie, R. (2014). The ICAP framework: Linking cognitive engagement to active learning outcomes.</w:t>
      </w:r>
      <w:r>
        <w:t xml:space="preserve"> </w:t>
      </w:r>
      <w:r>
        <w:rPr>
          <w:i/>
          <w:iCs/>
        </w:rPr>
        <w:t xml:space="preserve">Educational Psychologist, 49</w:t>
      </w:r>
      <w:r>
        <w:t xml:space="preserve">(4), 219–243.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11. </w:t>
      </w:r>
      <w:r>
        <w:t xml:space="preserve">Clerc, O., Abdelghani, R., Desvaux, C., Poisson, E., Oudeyer, P., &amp; Sauzéon, H. (2026). Teaching students to question the machine: An AI literacy intervention improves students' regulation of LLM use in a science task.</w:t>
      </w:r>
      <w:r>
        <w:t xml:space="preserve"> </w:t>
      </w:r>
      <w:r>
        <w:rPr>
          <w:i/>
          <w:iCs/>
        </w:rPr>
        <w:t xml:space="preserve">arXiv preprint arXiv:2604.01955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12. </w:t>
      </w:r>
      <w:r>
        <w:t xml:space="preserve">Collins, A., Brown, J. S., &amp; Newman, S. E. (1989). Cognitive apprenticeship: Teaching the crafts of reading, writing, and mathematics.</w:t>
      </w:r>
      <w:r>
        <w:t xml:space="preserve"> </w:t>
      </w:r>
      <w:r>
        <w:rPr>
          <w:i/>
          <w:iCs/>
        </w:rPr>
        <w:t xml:space="preserve">Knowing, Learning, and Instruction: Essays in Honor of Robert Glaser</w:t>
      </w:r>
      <w:r>
        <w:t xml:space="preserve">, 453–494.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13. </w:t>
      </w:r>
      <w:r>
        <w:t xml:space="preserve">Dakan, R., &amp; Feller, J. (2025). Framework for AI fluency. Anthropic.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14. </w:t>
      </w:r>
      <w:r>
        <w:t xml:space="preserve">Dell'Acqua, F., McFowland III, E., Mollick, E., Lifshitz-Assaf, H., Kellogg, K., Rajendran, S., Krayer, L., Candelon, F., &amp; Lakhani, K. R. (2023). Navigating the jagged technological frontier.</w:t>
      </w:r>
      <w:r>
        <w:t xml:space="preserve"> </w:t>
      </w:r>
      <w:r>
        <w:rPr>
          <w:i/>
          <w:iCs/>
        </w:rPr>
        <w:t xml:space="preserve">Harvard Business School Working Paper 24-013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15. </w:t>
      </w:r>
      <w:r>
        <w:t xml:space="preserve">Denny, P., Leinonen, J., Prather, J., Luxton-Reilly, A., Amarouche, T., Becker, B. A., &amp; Reeves, B. N. (2024). Prompt problems: A new programming exercise for the generative AI era.</w:t>
      </w:r>
      <w:r>
        <w:t xml:space="preserve"> </w:t>
      </w:r>
      <w:r>
        <w:rPr>
          <w:i/>
          <w:iCs/>
        </w:rPr>
        <w:t xml:space="preserve">Proceedings of the 55th ACM Technical Symposium on Computer Science Education (SIGCSE)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16. </w:t>
      </w:r>
      <w:r>
        <w:t xml:space="preserve">Di Santi, E. (2026). Cognitive amplification vs cognitive delegation in human-AI systems: A metric framework.</w:t>
      </w:r>
      <w:r>
        <w:t xml:space="preserve"> </w:t>
      </w:r>
      <w:r>
        <w:rPr>
          <w:i/>
          <w:iCs/>
        </w:rPr>
        <w:t xml:space="preserve">arXiv preprint arXiv:2603.18677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17. </w:t>
      </w:r>
      <w:r>
        <w:t xml:space="preserve">Durkin, K., &amp; Rittle-Johnson, B. (2012). The effectiveness of using incorrect examples to support learning about decimal magnitude.</w:t>
      </w:r>
      <w:r>
        <w:t xml:space="preserve"> </w:t>
      </w:r>
      <w:r>
        <w:rPr>
          <w:i/>
          <w:iCs/>
        </w:rPr>
        <w:t xml:space="preserve">Learning and Instruction, 22</w:t>
      </w:r>
      <w:r>
        <w:t xml:space="preserve">(3), 206–214. https://doi.org/10.1016/j.learninstruc.2011.11.001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18. </w:t>
      </w:r>
      <w:r>
        <w:t xml:space="preserve">Elshall, A. S., &amp; Badir, A. (2025). Balancing AI-assisted learning and traditional assessment: The FACT assessment in environmental data science education.</w:t>
      </w:r>
      <w:r>
        <w:t xml:space="preserve"> </w:t>
      </w:r>
      <w:r>
        <w:rPr>
          <w:i/>
          <w:iCs/>
        </w:rPr>
        <w:t xml:space="preserve">Frontiers in Education, 10</w:t>
      </w:r>
      <w:r>
        <w:t xml:space="preserve">, 1596462. https://doi.org/10.3389/feduc.2025.1596462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19. </w:t>
      </w:r>
      <w:r>
        <w:t xml:space="preserve">Facione, P. A. (1990). Critical thinking: A statement of expert consensus for purposes of educational assessment and instruction (the Delphi report). American Philosophical Association.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20. </w:t>
      </w:r>
      <w:r>
        <w:t xml:space="preserve">Fan, Y., Tang, L., Le, H., Shen, K., Tan, S., Zhao, Y., Shen, Y., Li, X., &amp; Gašević, D. (2025). Beware of metacognitive laziness: Effects of generative artificial intelligence on learning motivation, processes, and performance.</w:t>
      </w:r>
      <w:r>
        <w:t xml:space="preserve"> </w:t>
      </w:r>
      <w:r>
        <w:rPr>
          <w:i/>
          <w:iCs/>
        </w:rPr>
        <w:t xml:space="preserve">British Journal of Educational Technology, 56</w:t>
      </w:r>
      <w:r>
        <w:t xml:space="preserve">(2), 489–530. https://doi.org/10.1111/bjet.13544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21. </w:t>
      </w:r>
      <w:r>
        <w:t xml:space="preserve">Feng, Y., Wang, S., Cheng, Z., Wan, Y., &amp; Chen, D. (2025). Are we on the right way to assessing LLM-as-a-judge?</w:t>
      </w:r>
      <w:r>
        <w:t xml:space="preserve"> </w:t>
      </w:r>
      <w:r>
        <w:rPr>
          <w:i/>
          <w:iCs/>
        </w:rPr>
        <w:t xml:space="preserve">arXiv preprint arXiv:2512.16041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22. </w:t>
      </w:r>
      <w:r>
        <w:t xml:space="preserve">Fernandes, D., Villa, S., Nicholls, S., Haavisto, O., Buschek, D., Schmidt, A., Kosch, T., Shen, C., &amp; Welsch, R. (2024). Performance and metacognition disconnect when reasoning in human-AI interaction.</w:t>
      </w:r>
      <w:r>
        <w:t xml:space="preserve"> </w:t>
      </w:r>
      <w:r>
        <w:rPr>
          <w:i/>
          <w:iCs/>
        </w:rPr>
        <w:t xml:space="preserve">arXiv preprint arXiv:2409.16708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23. </w:t>
      </w:r>
      <w:r>
        <w:t xml:space="preserve">Flavell, J. H. (1979). Metacognition and cognitive monitoring: A new area of cognitive-developmental inquiry.</w:t>
      </w:r>
      <w:r>
        <w:t xml:space="preserve"> </w:t>
      </w:r>
      <w:r>
        <w:rPr>
          <w:i/>
          <w:iCs/>
        </w:rPr>
        <w:t xml:space="preserve">American Psychologist, 34</w:t>
      </w:r>
      <w:r>
        <w:t xml:space="preserve">(10), 906–911.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24. </w:t>
      </w:r>
      <w:r>
        <w:t xml:space="preserve">Ganuthula, V. R. R., &amp; Balaraman, K. K. (2025). Artificial intelligence quotient framework for measuring human collaboration with artificial intelligence.</w:t>
      </w:r>
      <w:r>
        <w:t xml:space="preserve"> </w:t>
      </w:r>
      <w:r>
        <w:rPr>
          <w:i/>
          <w:iCs/>
        </w:rPr>
        <w:t xml:space="preserve">Discover Artificial Intelligence, 5</w:t>
      </w:r>
      <w:r>
        <w:t xml:space="preserve">, 268. https://doi.org/10.1007/s44163-025-00516-1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25. </w:t>
      </w:r>
      <w:r>
        <w:t xml:space="preserve">Gerlich, M. (2025). AI tools in society: Impacts on cognitive offloading and the future of critical thinking.</w:t>
      </w:r>
      <w:r>
        <w:t xml:space="preserve"> </w:t>
      </w:r>
      <w:r>
        <w:rPr>
          <w:i/>
          <w:iCs/>
        </w:rPr>
        <w:t xml:space="preserve">Societies, 15</w:t>
      </w:r>
      <w:r>
        <w:t xml:space="preserve">(1), 6.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26. </w:t>
      </w:r>
      <w:r>
        <w:t xml:space="preserve">Gilson, L. L., &amp; Goldberg, C. B. (2015). Editors' comment: So, what is a conceptual paper?</w:t>
      </w:r>
      <w:r>
        <w:t xml:space="preserve"> </w:t>
      </w:r>
      <w:r>
        <w:rPr>
          <w:i/>
          <w:iCs/>
        </w:rPr>
        <w:t xml:space="preserve">Group &amp; Organization Management, 40</w:t>
      </w:r>
      <w:r>
        <w:t xml:space="preserve">(2), 127–130. https://doi.org/10.1177/1059601115576425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27. </w:t>
      </w:r>
      <w:r>
        <w:t xml:space="preserve">Große, C. S., &amp; Renkl, A. (2007). Finding and fixing errors in worked examples: Can this foster learning outcomes?</w:t>
      </w:r>
      <w:r>
        <w:t xml:space="preserve"> </w:t>
      </w:r>
      <w:r>
        <w:rPr>
          <w:i/>
          <w:iCs/>
        </w:rPr>
        <w:t xml:space="preserve">Learning and Instruction, 17</w:t>
      </w:r>
      <w:r>
        <w:t xml:space="preserve">(6), 612–634. https://doi.org/10.1016/j.learninstruc.2007.09.008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28. </w:t>
      </w:r>
      <w:r>
        <w:t xml:space="preserve">Gu, X., &amp; Ericson, B. J. (2025). AI literacy in K-12 and higher education in the wake of generative AI: An integrative review.</w:t>
      </w:r>
      <w:r>
        <w:t xml:space="preserve"> </w:t>
      </w:r>
      <w:r>
        <w:rPr>
          <w:i/>
          <w:iCs/>
        </w:rPr>
        <w:t xml:space="preserve">Proceedings of the 2025 ACM Conference on International Computing Education Research (ICER)</w:t>
      </w:r>
      <w:r>
        <w:t xml:space="preserve">, 125–140. https://doi.org/10.1145/3702652.3744217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29. </w:t>
      </w:r>
      <w:r>
        <w:t xml:space="preserve">Hattie, J., &amp; Timperley, H. (2007). The power of feedback.</w:t>
      </w:r>
      <w:r>
        <w:t xml:space="preserve"> </w:t>
      </w:r>
      <w:r>
        <w:rPr>
          <w:i/>
          <w:iCs/>
        </w:rPr>
        <w:t xml:space="preserve">Review of Educational Research, 77</w:t>
      </w:r>
      <w:r>
        <w:t xml:space="preserve">(1), 81–112.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30. </w:t>
      </w:r>
      <w:r>
        <w:t xml:space="preserve">Jaakkola, E. (2020). Designing conceptual articles: Four approaches.</w:t>
      </w:r>
      <w:r>
        <w:t xml:space="preserve"> </w:t>
      </w:r>
      <w:r>
        <w:rPr>
          <w:i/>
          <w:iCs/>
        </w:rPr>
        <w:t xml:space="preserve">AMS Review, 10</w:t>
      </w:r>
      <w:r>
        <w:t xml:space="preserve">, 18–26.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31. </w:t>
      </w:r>
      <w:r>
        <w:t xml:space="preserve">Jin, Y., Martinez-Maldonado, R., Gašević, D., &amp; Yan, L. (2024). GLAT: The generative AI literacy assessment test.</w:t>
      </w:r>
      <w:r>
        <w:t xml:space="preserve"> </w:t>
      </w:r>
      <w:r>
        <w:rPr>
          <w:i/>
          <w:iCs/>
        </w:rPr>
        <w:t xml:space="preserve">arXiv preprint arXiv:2411.00283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32. </w:t>
      </w:r>
      <w:r>
        <w:t xml:space="preserve">Kane, M. T. (2013). Validating the interpretations and uses of test scores.</w:t>
      </w:r>
      <w:r>
        <w:t xml:space="preserve"> </w:t>
      </w:r>
      <w:r>
        <w:rPr>
          <w:i/>
          <w:iCs/>
        </w:rPr>
        <w:t xml:space="preserve">Journal of Educational Measurement, 50</w:t>
      </w:r>
      <w:r>
        <w:t xml:space="preserve">(1), 1–73. https://doi.org/10.1111/jedm.12000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33. </w:t>
      </w:r>
      <w:r>
        <w:t xml:space="preserve">Kapur, M. (2008). Productive failure.</w:t>
      </w:r>
      <w:r>
        <w:t xml:space="preserve"> </w:t>
      </w:r>
      <w:r>
        <w:rPr>
          <w:i/>
          <w:iCs/>
        </w:rPr>
        <w:t xml:space="preserve">Cognition and Instruction, 26</w:t>
      </w:r>
      <w:r>
        <w:t xml:space="preserve">(3), 379–424.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34. </w:t>
      </w:r>
      <w:r>
        <w:t xml:space="preserve">Kim, P., Wang, W., &amp; Bonk, C. J. (2025). Generative AI as a coach to help students enhance proficiency in question formulation.</w:t>
      </w:r>
      <w:r>
        <w:t xml:space="preserve"> </w:t>
      </w:r>
      <w:r>
        <w:rPr>
          <w:i/>
          <w:iCs/>
        </w:rPr>
        <w:t xml:space="preserve">Journal of Educational Computing Research, 63</w:t>
      </w:r>
      <w:r>
        <w:t xml:space="preserve">(3), 565–586. https://doi.org/10.1177/07356331251314222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35. </w:t>
      </w:r>
      <w:r>
        <w:t xml:space="preserve">Kosmyna, N., Hauptmann, E., Yuan, Y. T., Situ, J., Liao, X., Beresnitzky, A. V., Braunstein, I., &amp; Maes, P. (2025). Your brain on ChatGPT: Accumulation of cognitive debt when using an AI assistant for essay writing task.</w:t>
      </w:r>
      <w:r>
        <w:t xml:space="preserve"> </w:t>
      </w:r>
      <w:r>
        <w:rPr>
          <w:i/>
          <w:iCs/>
        </w:rPr>
        <w:t xml:space="preserve">arXiv preprint arXiv:2506.08872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36. </w:t>
      </w:r>
      <w:r>
        <w:t xml:space="preserve">Lee, H., &amp; Bosch, N. (2025). Calibration discrepancy predicts students' subsequent metacognitive strategy use in computer-based learning environments.</w:t>
      </w:r>
      <w:r>
        <w:t xml:space="preserve"> </w:t>
      </w:r>
      <w:r>
        <w:rPr>
          <w:i/>
          <w:iCs/>
        </w:rPr>
        <w:t xml:space="preserve">International Journal of Artificial Intelligence in Education, 35</w:t>
      </w:r>
      <w:r>
        <w:t xml:space="preserve">(6), 3746–3779. https://doi.org/10.1007/s40593-025-00514-5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37. </w:t>
      </w:r>
      <w:r>
        <w:t xml:space="preserve">Lee, J. D., &amp; See, K. A. (2004). Trust in automation: Designing for appropriate reliance.</w:t>
      </w:r>
      <w:r>
        <w:t xml:space="preserve"> </w:t>
      </w:r>
      <w:r>
        <w:rPr>
          <w:i/>
          <w:iCs/>
        </w:rPr>
        <w:t xml:space="preserve">Human Factors, 46</w:t>
      </w:r>
      <w:r>
        <w:t xml:space="preserve">(1), 50–80.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38. </w:t>
      </w:r>
      <w:r>
        <w:t xml:space="preserve">Lee, S. C., Baby, T., Vongvit, R., Lee, J., Kim, Y., Min, C., &amp; Yoon, S. H. (2025). Development and validation of a generative AI competence scale.</w:t>
      </w:r>
      <w:r>
        <w:t xml:space="preserve"> </w:t>
      </w:r>
      <w:r>
        <w:rPr>
          <w:i/>
          <w:iCs/>
        </w:rPr>
        <w:t xml:space="preserve">Technology in Society</w:t>
      </w:r>
      <w:r>
        <w:t xml:space="preserve">. https://doi.org/10.1016/j.techsoc.2025.103059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39. </w:t>
      </w:r>
      <w:r>
        <w:t xml:space="preserve">Li, C., Cui, H., &amp; Hagedorn, L. S. (2026). The cognitive impact of ChatGPT in higher education: A systematic review of critical and creative thinking outcomes.</w:t>
      </w:r>
      <w:r>
        <w:t xml:space="preserve"> </w:t>
      </w:r>
      <w:r>
        <w:rPr>
          <w:i/>
          <w:iCs/>
        </w:rPr>
        <w:t xml:space="preserve">Computers and Education: Artificial Intelligence, 10</w:t>
      </w:r>
      <w:r>
        <w:t xml:space="preserve">, 100571. https://doi.org/10.1016/j.caeai.2026.100571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40. </w:t>
      </w:r>
      <w:r>
        <w:t xml:space="preserve">Lo, L. S. (2023). The CLEAR path: A framework for enhancing information literacy through prompt engineering.</w:t>
      </w:r>
      <w:r>
        <w:t xml:space="preserve"> </w:t>
      </w:r>
      <w:r>
        <w:rPr>
          <w:i/>
          <w:iCs/>
        </w:rPr>
        <w:t xml:space="preserve">The Journal of Academic Librarianship, 49</w:t>
      </w:r>
      <w:r>
        <w:t xml:space="preserve">(4).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41. </w:t>
      </w:r>
      <w:r>
        <w:t xml:space="preserve">Long, D., &amp; Magerko, B. (2020). What is AI literacy? Competencies and design considerations.</w:t>
      </w:r>
      <w:r>
        <w:t xml:space="preserve"> </w:t>
      </w:r>
      <w:r>
        <w:rPr>
          <w:i/>
          <w:iCs/>
        </w:rPr>
        <w:t xml:space="preserve">Proceedings of the 2020 CHI Conference on Human Factors in Computing Systems</w:t>
      </w:r>
      <w:r>
        <w:t xml:space="preserve">, 1–16.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42. </w:t>
      </w:r>
      <w:r>
        <w:t xml:space="preserve">McNichols, H., Ikram, F., &amp; Lan, A. (2025). The StudyChat dataset: Student dialogues with ChatGPT in an artificial intelligence course.</w:t>
      </w:r>
      <w:r>
        <w:t xml:space="preserve"> </w:t>
      </w:r>
      <w:r>
        <w:rPr>
          <w:i/>
          <w:iCs/>
        </w:rPr>
        <w:t xml:space="preserve">arXiv preprint arXiv:2503.07928</w:t>
      </w:r>
      <w:r>
        <w:t xml:space="preserve">. https://doi.org/10.48550/arXiv.2503.07928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43. </w:t>
      </w:r>
      <w:r>
        <w:t xml:space="preserve">Messick, S. (1995). Validity of psychological assessment: Validation of inferences from persons' responses and performances as scientific inquiry into score meaning.</w:t>
      </w:r>
      <w:r>
        <w:t xml:space="preserve"> </w:t>
      </w:r>
      <w:r>
        <w:rPr>
          <w:i/>
          <w:iCs/>
        </w:rPr>
        <w:t xml:space="preserve">American Psychologist, 50</w:t>
      </w:r>
      <w:r>
        <w:t xml:space="preserve">(9), 741–749. https://doi.org/10.1037/0003-066X.50.9.741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44. </w:t>
      </w:r>
      <w:r>
        <w:t xml:space="preserve">Nazaretsky, T., Gabbay, H., &amp; Käser, T. (2025). Can students judge like experts? A large-scale study on AI and human personalized formative feedback.</w:t>
      </w:r>
      <w:r>
        <w:t xml:space="preserve"> </w:t>
      </w:r>
      <w:r>
        <w:rPr>
          <w:i/>
          <w:iCs/>
        </w:rPr>
        <w:t xml:space="preserve">Computers and Education: Artificial Intelligence</w:t>
      </w:r>
      <w:r>
        <w:t xml:space="preserve">. https://doi.org/10.1016/j.caeai.2025.100533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45. </w:t>
      </w:r>
      <w:r>
        <w:t xml:space="preserve">Nelson, T. O., &amp; Narens, L. (1990). Metamemory: A theoretical framework and new findings.</w:t>
      </w:r>
      <w:r>
        <w:t xml:space="preserve"> </w:t>
      </w:r>
      <w:r>
        <w:rPr>
          <w:i/>
          <w:iCs/>
        </w:rPr>
        <w:t xml:space="preserve">The Psychology of Learning and Motivation, 26</w:t>
      </w:r>
      <w:r>
        <w:t xml:space="preserve">, 125–173.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46. </w:t>
      </w:r>
      <w:r>
        <w:t xml:space="preserve">Parasuraman, R., &amp; Manzey, D. H. (2010). Complacency and bias in human use of automation: An attentional integration.</w:t>
      </w:r>
      <w:r>
        <w:t xml:space="preserve"> </w:t>
      </w:r>
      <w:r>
        <w:rPr>
          <w:i/>
          <w:iCs/>
        </w:rPr>
        <w:t xml:space="preserve">Human Factors, 52</w:t>
      </w:r>
      <w:r>
        <w:t xml:space="preserve">(3), 381–410.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47. </w:t>
      </w:r>
      <w:r>
        <w:t xml:space="preserve">Paul, R., &amp; Elder, L. (2006). The miniature guide to critical thinking: Concepts and tools. Foundation for Critical Thinking.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48. </w:t>
      </w:r>
      <w:r>
        <w:t xml:space="preserve">Randazzo, B., Lifshitz-Assaf, H., Kellogg, K., Dell'Acqua, F., Mollick, E., Candelon, F., &amp; Lakhani, K. R. (2025). Cyborgs, Centaurs and Self-Automators: Modes of human-AI collaboration in knowledge work.</w:t>
      </w:r>
      <w:r>
        <w:t xml:space="preserve"> </w:t>
      </w:r>
      <w:r>
        <w:rPr>
          <w:i/>
          <w:iCs/>
        </w:rPr>
        <w:t xml:space="preserve">Harvard Business School Working Paper 26-036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49. </w:t>
      </w:r>
      <w:r>
        <w:t xml:space="preserve">Runco, M. A., &amp; Chand, I. (1995). Cognition and creativity.</w:t>
      </w:r>
      <w:r>
        <w:t xml:space="preserve"> </w:t>
      </w:r>
      <w:r>
        <w:rPr>
          <w:i/>
          <w:iCs/>
        </w:rPr>
        <w:t xml:space="preserve">Educational Psychology Review, 7</w:t>
      </w:r>
      <w:r>
        <w:t xml:space="preserve">(3), 243–267.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50. </w:t>
      </w:r>
      <w:r>
        <w:t xml:space="preserve">Sadler, D. R. (1989). Formative assessment and the design of instructional systems.</w:t>
      </w:r>
      <w:r>
        <w:t xml:space="preserve"> </w:t>
      </w:r>
      <w:r>
        <w:rPr>
          <w:i/>
          <w:iCs/>
        </w:rPr>
        <w:t xml:space="preserve">Instructional Science, 18</w:t>
      </w:r>
      <w:r>
        <w:t xml:space="preserve">(2), 119–144.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51. </w:t>
      </w:r>
      <w:r>
        <w:t xml:space="preserve">Salomon, G., Perkins, D. N., &amp; Globerson, T. (1991). Partners in cognition: Extending human intelligence with intelligent technologies.</w:t>
      </w:r>
      <w:r>
        <w:t xml:space="preserve"> </w:t>
      </w:r>
      <w:r>
        <w:rPr>
          <w:i/>
          <w:iCs/>
        </w:rPr>
        <w:t xml:space="preserve">Educational Researcher, 20</w:t>
      </w:r>
      <w:r>
        <w:t xml:space="preserve">(3), 2–9.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52. </w:t>
      </w:r>
      <w:r>
        <w:t xml:space="preserve">Sidra, S., &amp; Mason, C. (2025). Generative AI in human-AI collaboration: Validation of the collaborative AI literacy and collaborative AI metacognition scales.</w:t>
      </w:r>
      <w:r>
        <w:t xml:space="preserve"> </w:t>
      </w:r>
      <w:r>
        <w:rPr>
          <w:i/>
          <w:iCs/>
        </w:rPr>
        <w:t xml:space="preserve">International Journal of Human-Computer Interaction</w:t>
      </w:r>
      <w:r>
        <w:t xml:space="preserve">. https://doi.org/10.1080/10447318.2025.2543997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53. </w:t>
      </w:r>
      <w:r>
        <w:t xml:space="preserve">Sperber, D., Clément, F., Heintz, C., Mascaro, O., Mercier, H., Origgi, G., &amp; Wilson, D. (2010). Epistemic vigilance.</w:t>
      </w:r>
      <w:r>
        <w:t xml:space="preserve"> </w:t>
      </w:r>
      <w:r>
        <w:rPr>
          <w:i/>
          <w:iCs/>
        </w:rPr>
        <w:t xml:space="preserve">Mind &amp; Language, 25</w:t>
      </w:r>
      <w:r>
        <w:t xml:space="preserve">(4), 359–393.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54. </w:t>
      </w:r>
      <w:r>
        <w:t xml:space="preserve">Srinath, S., Vadaparty, A., Smith IV, D. H., Porter, L., &amp; Zingaro, D. (2025). Assessing problem decomposition in CS1 for the GenAI era.</w:t>
      </w:r>
      <w:r>
        <w:t xml:space="preserve"> </w:t>
      </w:r>
      <w:r>
        <w:rPr>
          <w:i/>
          <w:iCs/>
        </w:rPr>
        <w:t xml:space="preserve">arXiv preprint arXiv:2511.05764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55. </w:t>
      </w:r>
      <w:r>
        <w:t xml:space="preserve">Tankelevitch, L., Kewenig, V., Simkute, A., Scott, A. E., Sarkar, A., Sellen, A., &amp; Rintel, S. (2024). The metacognitive demands and opportunities of generative AI.</w:t>
      </w:r>
      <w:r>
        <w:t xml:space="preserve"> </w:t>
      </w:r>
      <w:r>
        <w:rPr>
          <w:i/>
          <w:iCs/>
        </w:rPr>
        <w:t xml:space="preserve">Proceedings of the 2024 CHI Conference on Human Factors in Computing Systems</w:t>
      </w:r>
      <w:r>
        <w:t xml:space="preserve">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56. </w:t>
      </w:r>
      <w:r>
        <w:t xml:space="preserve">Tour, E., &amp; Zadorozhnyy, A. (2025). Conceptualizing and operationalizing prompt literacy for English language learners.</w:t>
      </w:r>
      <w:r>
        <w:t xml:space="preserve"> </w:t>
      </w:r>
      <w:r>
        <w:rPr>
          <w:i/>
          <w:iCs/>
        </w:rPr>
        <w:t xml:space="preserve">Journal of Adolescent &amp; Adult Literacy</w:t>
      </w:r>
      <w:r>
        <w:t xml:space="preserve">. https://doi.org/10.1002/jaal.70020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57. </w:t>
      </w:r>
      <w:r>
        <w:t xml:space="preserve">UNESCO (2024). AI competency framework for students. UNESCO.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58. </w:t>
      </w:r>
      <w:r>
        <w:t xml:space="preserve">Vaccaro, M., Almaatouq, A., &amp; Malone, T. (2024). When combinations of humans and AI are useful: A systematic review and meta-analysis.</w:t>
      </w:r>
      <w:r>
        <w:t xml:space="preserve"> </w:t>
      </w:r>
      <w:r>
        <w:rPr>
          <w:i/>
          <w:iCs/>
        </w:rPr>
        <w:t xml:space="preserve">Nature Human Behaviour, 8</w:t>
      </w:r>
      <w:r>
        <w:t xml:space="preserve">, 2293–2303.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59. </w:t>
      </w:r>
      <w:r>
        <w:t xml:space="preserve">Vygotsky, L. S. (1978). Mind in society: The development of higher psychological processes. Harvard University Press.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60. </w:t>
      </w:r>
      <w:r>
        <w:t xml:space="preserve">Walton, J., Bearman, M., Crawford, N., Tai, J., &amp; Boud, D. (2025). How university students work on assessment tasks with generative artificial intelligence: Matters of judgement.</w:t>
      </w:r>
      <w:r>
        <w:t xml:space="preserve"> </w:t>
      </w:r>
      <w:r>
        <w:rPr>
          <w:i/>
          <w:iCs/>
        </w:rPr>
        <w:t xml:space="preserve">Assessment &amp; Evaluation in Higher Education</w:t>
      </w:r>
      <w:r>
        <w:t xml:space="preserve"> </w:t>
      </w:r>
      <w:r>
        <w:t xml:space="preserve">(advance online publication). https://doi.org/10.1080/02602938.2025.2570328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61. </w:t>
      </w:r>
      <w:r>
        <w:t xml:space="preserve">Wingerter, T. L., Straub, T., &amp; Schweitzer, S. (2025). Mitigating automation bias in generative AI through nudges: A cognitive reflection test study.</w:t>
      </w:r>
      <w:r>
        <w:t xml:space="preserve"> </w:t>
      </w:r>
      <w:r>
        <w:rPr>
          <w:i/>
          <w:iCs/>
        </w:rPr>
        <w:t xml:space="preserve">Procedia Computer Science, 270</w:t>
      </w:r>
      <w:r>
        <w:t xml:space="preserve">, 2106–2114. https://doi.org/10.1016/j.procs.2025.09.331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62. </w:t>
      </w:r>
      <w:r>
        <w:t xml:space="preserve">Winne, P. H., &amp; Hadwin, A. F. (1998). Studying as self-regulated learning.</w:t>
      </w:r>
      <w:r>
        <w:t xml:space="preserve"> </w:t>
      </w:r>
      <w:r>
        <w:rPr>
          <w:i/>
          <w:iCs/>
        </w:rPr>
        <w:t xml:space="preserve">Metacognition in Educational Theory and Practice</w:t>
      </w:r>
      <w:r>
        <w:t xml:space="preserve">, 277–304.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63. </w:t>
      </w:r>
      <w:r>
        <w:t xml:space="preserve">Wirth, J., Weber-Reuter, X.-L., Schuster, C., Fleischer, J., Leutner, D., &amp; Stebner, F. (2025). Far transfer of metacognitive regulation: From cognitive learning strategy use to mental effort regulation.</w:t>
      </w:r>
      <w:r>
        <w:t xml:space="preserve"> </w:t>
      </w:r>
      <w:r>
        <w:rPr>
          <w:i/>
          <w:iCs/>
        </w:rPr>
        <w:t xml:space="preserve">Educational Psychology Review, 37</w:t>
      </w:r>
      <w:r>
        <w:t xml:space="preserve">(1), 7. https://doi.org/10.1007/s10648-024-09983-x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64. </w:t>
      </w:r>
      <w:r>
        <w:t xml:space="preserve">Yao, G., &amp; Fan, L. (2025). Cognitive load scale for AI-assisted L2 writing: Scale development and validation.</w:t>
      </w:r>
      <w:r>
        <w:t xml:space="preserve"> </w:t>
      </w:r>
      <w:r>
        <w:rPr>
          <w:i/>
          <w:iCs/>
        </w:rPr>
        <w:t xml:space="preserve">Frontiers in Psychology, 16</w:t>
      </w:r>
      <w:r>
        <w:t xml:space="preserve">, 1666974. https://doi.org/10.3389/fpsyg.2025.1666974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65. </w:t>
      </w:r>
      <w:r>
        <w:t xml:space="preserve">Yavuz, F., Çelik, Ö., &amp; Yavaş Çelik, G. (2025). Utilizing large language models for EFL essay grading: An examination of reliability and validity in rubric-based assessments.</w:t>
      </w:r>
      <w:r>
        <w:t xml:space="preserve"> </w:t>
      </w:r>
      <w:r>
        <w:rPr>
          <w:i/>
          <w:iCs/>
        </w:rPr>
        <w:t xml:space="preserve">British Journal of Educational Technology, 56</w:t>
      </w:r>
      <w:r>
        <w:t xml:space="preserve">(4), 1–17. https://doi.org/10.1111/bjet.13494</w:t>
      </w:r>
    </w:p>
    <w:p>
      <w:pPr>
        <w:pStyle w:val="ReferenceEntry"/>
        <w:spacing w:after="100"/>
        <w:ind w:left="475" w:hanging="475"/>
        <w:jc w:val="left"/>
        <w:keepNext w:val="0"/>
        <w:keepLines w:val="0"/>
        <w:widowControl w:val="1"/>
      </w:pPr>
      <w:r>
        <w:rPr>
          <w:rFonts w:ascii="Times New Roman" w:hAnsi="Times New Roman"/>
          <w:sz w:val="20"/>
        </w:rPr>
        <w:t xml:space="preserve">66. </w:t>
      </w:r>
      <w:r>
        <w:t xml:space="preserve">Zimmerman, B. J. (2000). Attaining self-regulation: A social cognitive perspective.</w:t>
      </w:r>
      <w:r>
        <w:t xml:space="preserve"> </w:t>
      </w:r>
      <w:r>
        <w:rPr>
          <w:i/>
          <w:iCs/>
        </w:rPr>
        <w:t xml:space="preserve">Handbook of Self-Regulation</w:t>
      </w:r>
      <w:r>
        <w:t xml:space="preserve">, 13–39.</w:t>
      </w:r>
    </w:p>
    <w:bookmarkEnd w:id="42"/>
    <w:bookmarkEnd w:id="43"/>
    <w:sectPr w:rsidR="00FC693F" w:rsidRPr="0006063C" w:rsidSect="00034616">
      <w:footerReference w:type="default" r:id="rId9"/>
      <w:pgSz w:h="15840" w:w="12240"/>
      <w:pgMar w:bottom="1440" w:footer="720" w:gutter="0" w:header="720" w:left="1440" w:right="1440" w:top="1440"/>
      <w:lnNumType w:countBy="1" w:start="1" w:restart="continuous" w:distance="36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  <w:jc w:val="center"/>
    </w:pPr>
    <w:r>
      <w:rPr>
        <w:rFonts w:ascii="Times New Roman" w:hAnsi="Times New Roman"/>
        <w:sz w:val="20"/>
      </w:rPr>
      <w:fldChar w:fldCharType="begin"/>
      <w:instrText xml:space="preserve">PAGE</w:instrText>
      <w:fldChar w:fldCharType="separate"/>
      <w:t>1</w: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  <w:autoHyphenation w:val="true"/>
  <w:doNotHyphenateCaps w:val="false"/>
  <w:consecutiveHyphenLimit w:val="2"/>
  <w:hyphenationZone w:val="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Next w:val="0"/>
      <w:spacing w:after="0" w:before="0" w:line="480" w:lineRule="auto"/>
    </w:pPr>
    <w:rPr>
      <w:rFonts w:ascii="Times New Roman" w:hAnsi="Times New Roman"/>
      <w:b w:val="0"/>
      <w:i w:val="0"/>
      <w:sz w:val="24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Times New Roman" w:asciiTheme="majorHAnsi" w:cstheme="majorBidi" w:eastAsiaTheme="majorEastAsia" w:hAnsi="Times New Roman" w:hAnsiTheme="majorHAnsi"/>
      <w:b/>
      <w:bCs/>
      <w:i w:val="0"/>
      <w:color w:themeColor="accent1" w:themeShade="BF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200"/>
      <w:outlineLvl w:val="1"/>
    </w:pPr>
    <w:rPr>
      <w:rFonts w:ascii="Times New Roman" w:asciiTheme="majorHAnsi" w:cstheme="majorBidi" w:eastAsiaTheme="majorEastAsia" w:hAnsi="Times New Roman" w:hAnsiTheme="majorHAnsi"/>
      <w:b/>
      <w:bCs/>
      <w:i w:val="0"/>
      <w:color w:themeColor="accent1" w:val="4F81BD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Times New Roman" w:asciiTheme="majorHAnsi" w:cstheme="majorBidi" w:eastAsiaTheme="majorEastAsia" w:hAnsi="Times New Roman" w:hAnsiTheme="majorHAnsi"/>
      <w:b/>
      <w:bCs/>
      <w:i w:val="0"/>
      <w:color w:themeColor="accent1" w:val="4F81BD"/>
      <w:sz w:val="22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keepNext w:val="0"/>
      <w:pBdr>
        <w:bottom w:color="4F81BD" w:space="4" w:sz="8" w:themeColor="accent1" w:val="single"/>
      </w:pBdr>
      <w:spacing w:after="160" w:before="0" w:line="240" w:lineRule="auto"/>
      <w:contextualSpacing/>
      <w:jc w:val="center"/>
    </w:pPr>
    <w:rPr>
      <w:rFonts w:ascii="Times New Roman" w:asciiTheme="majorHAnsi" w:cstheme="majorBidi" w:eastAsiaTheme="majorEastAsia" w:hAnsi="Times New Roman" w:hAnsiTheme="majorHAnsi"/>
      <w:b/>
      <w:i w:val="0"/>
      <w:color w:themeColor="text2" w:themeShade="BF" w:val="17365D"/>
      <w:spacing w:val="5"/>
      <w:kern w:val="28"/>
      <w:sz w:val="36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keepNext w:val="0"/>
      <w:numPr>
        <w:ilvl w:val="1"/>
      </w:numPr>
      <w:spacing w:after="80" w:before="0"/>
      <w:jc w:val="center"/>
    </w:pPr>
    <w:rPr>
      <w:rFonts w:ascii="Times New Roman" w:asciiTheme="majorHAnsi" w:cstheme="majorBidi" w:eastAsiaTheme="majorEastAsia" w:hAnsi="Times New Roman" w:hAnsiTheme="majorHAnsi"/>
      <w:b w:val="0"/>
      <w:i w:val="0"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keepNext w:val="0"/>
      <w:spacing w:after="0" w:before="0" w:line="480" w:lineRule="auto"/>
      <w:ind w:firstLine="720"/>
      <w:jc w:val="both"/>
    </w:pPr>
    <w:rPr>
      <w:rFonts w:ascii="Times New Roman" w:hAnsi="Times New Roman"/>
      <w:b w:val="0"/>
      <w:i w:val="0"/>
      <w:sz w:val="24"/>
    </w:r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FirstParagraph" w:type="paragraph">
    <w:name w:val="First Paragraph"/>
    <w:basedOn w:val="BodyText"/>
    <w:pPr>
      <w:keepNext w:val="0"/>
      <w:spacing w:after="0" w:before="0" w:line="480" w:lineRule="auto"/>
      <w:ind w:firstLine="0"/>
      <w:jc w:val="both"/>
    </w:pPr>
    <w:rPr>
      <w:rFonts w:ascii="Times New Roman" w:hAnsi="Times New Roman"/>
      <w:b w:val="0"/>
      <w:i w:val="0"/>
      <w:sz w:val="24"/>
    </w:rPr>
  </w:style>
  <w:style w:customStyle="1" w:styleId="Compact" w:type="paragraph">
    <w:name w:val="Compact"/>
    <w:basedOn w:val="BodyText"/>
    <w:pPr>
      <w:keepNext w:val="0"/>
      <w:spacing w:after="40" w:before="0" w:line="252" w:lineRule="auto"/>
      <w:ind w:left="317" w:hanging="259"/>
      <w:jc w:val="both"/>
    </w:pPr>
    <w:rPr>
      <w:rFonts w:ascii="Times New Roman" w:hAnsi="Times New Roman"/>
      <w:b w:val="0"/>
      <w:i w:val="0"/>
      <w:sz w:val="24"/>
    </w:rPr>
  </w:style>
  <w:style w:customStyle="1" w:styleId="AbstractLabel" w:type="paragraph">
    <w:name w:val="Abstract Label"/>
    <w:basedOn w:val="BodyText"/>
    <w:pPr>
      <w:keepNext/>
      <w:spacing w:after="80" w:before="80"/>
      <w:ind w:firstLine="0"/>
      <w:jc w:val="center"/>
    </w:pPr>
    <w:rPr>
      <w:rFonts w:ascii="Times New Roman" w:hAnsi="Times New Roman"/>
      <w:b/>
      <w:i w:val="0"/>
      <w:sz w:val="24"/>
    </w:rPr>
  </w:style>
  <w:style w:customStyle="1" w:styleId="Keywords" w:type="paragraph">
    <w:name w:val="Keywords"/>
    <w:basedOn w:val="BodyText"/>
    <w:pPr>
      <w:keepNext w:val="0"/>
      <w:spacing w:after="80" w:before="0"/>
      <w:ind w:firstLine="0"/>
      <w:jc w:val="both"/>
    </w:pPr>
    <w:rPr>
      <w:rFonts w:ascii="Times New Roman" w:hAnsi="Times New Roman"/>
      <w:b w:val="0"/>
      <w:i w:val="0"/>
      <w:sz w:val="24"/>
    </w:rPr>
  </w:style>
  <w:style w:customStyle="1" w:styleId="ImageCaption" w:type="paragraph">
    <w:name w:val="Image Caption"/>
    <w:basedOn w:val="BodyText"/>
    <w:pPr>
      <w:keepNext w:val="0"/>
      <w:spacing w:after="120" w:before="80" w:line="240" w:lineRule="auto"/>
      <w:jc w:val="center"/>
    </w:pPr>
    <w:rPr>
      <w:rFonts w:ascii="Times New Roman" w:hAnsi="Times New Roman"/>
      <w:b w:val="0"/>
      <w:i/>
      <w:sz w:val="20"/>
    </w:rPr>
  </w:style>
  <w:style w:customStyle="1" w:styleId="TableCaption" w:type="paragraph">
    <w:name w:val="Table Caption"/>
    <w:basedOn w:val="BodyText"/>
    <w:pPr>
      <w:keepNext/>
      <w:spacing w:after="60" w:before="280" w:line="240" w:lineRule="auto"/>
      <w:jc w:val="center"/>
    </w:pPr>
    <w:rPr>
      <w:rFonts w:ascii="Times New Roman" w:hAnsi="Times New Roman"/>
      <w:b w:val="0"/>
      <w:i/>
      <w:sz w:val="20"/>
    </w:rPr>
  </w:style>
  <w:style w:customStyle="1" w:styleId="ReferencesHeading" w:type="paragraph">
    <w:name w:val="References Heading"/>
    <w:basedOn w:val="Heading1"/>
    <w:pPr>
      <w:keepNext/>
      <w:spacing w:after="120" w:before="240"/>
    </w:pPr>
    <w:rPr>
      <w:rFonts w:ascii="Times New Roman" w:hAnsi="Times New Roman"/>
      <w:b/>
      <w:i w:val="0"/>
      <w:sz w:val="28"/>
    </w:rPr>
  </w:style>
  <w:style w:customStyle="1" w:styleId="ReferenceEntry" w:type="paragraph">
    <w:name w:val="Reference Entry"/>
    <w:basedOn w:val="BodyText"/>
    <w:pPr>
      <w:keepNext w:val="0"/>
      <w:spacing w:after="100" w:before="0" w:line="259" w:lineRule="auto"/>
      <w:ind w:left="475" w:hanging="475"/>
      <w:jc w:val="left"/>
    </w:pPr>
    <w:rPr>
      <w:rFonts w:ascii="Times New Roman" w:hAnsi="Times New Roman"/>
      <w:b w:val="0"/>
      <w:i w:val="0"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0" Type="http://schemas.openxmlformats.org/officeDocument/2006/relationships/image" Target="media/rId10.png"/><Relationship Id="rId15" Type="http://schemas.openxmlformats.org/officeDocument/2006/relationships/image" Target="media/rId15.png"/><Relationship Id="rId30" Type="http://schemas.openxmlformats.org/officeDocument/2006/relationships/image" Target="media/rId30.png"/><Relationship Id="rId27" Type="http://schemas.openxmlformats.org/officeDocument/2006/relationships/image" Target="media/rId27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2026-07-07T11:03:07Z</dcterms:created>
  <dcterms:modified xsi:type="dcterms:W3CDTF">2026-07-07T11:03:07Z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