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Administrative</w:t>
      </w:r>
      <w:r>
        <w:t xml:space="preserve"> </w:t>
      </w:r>
      <w:r>
        <w:t xml:space="preserve">Gold</w:t>
      </w:r>
      <w:r>
        <w:t xml:space="preserve"> </w:t>
      </w:r>
      <w:r>
        <w:t xml:space="preserve">Is</w:t>
      </w:r>
      <w:r>
        <w:t xml:space="preserve"> </w:t>
      </w:r>
      <w:r>
        <w:t xml:space="preserve">Not</w:t>
      </w:r>
      <w:r>
        <w:t xml:space="preserve"> </w:t>
      </w:r>
      <w:r>
        <w:t xml:space="preserve">Semantic</w:t>
      </w:r>
      <w:r>
        <w:t xml:space="preserve"> </w:t>
      </w:r>
      <w:r>
        <w:t xml:space="preserve">Ground</w:t>
      </w:r>
      <w:r>
        <w:t xml:space="preserve"> </w:t>
      </w:r>
      <w:r>
        <w:t xml:space="preserve">Truth</w:t>
      </w:r>
    </w:p>
    <w:bookmarkStart w:id="93" w:name="Xd288369d01fa0cffbf107a1c623c869bf98ed29"/>
    <w:p>
      <w:pPr>
        <w:pStyle w:val="Heading1"/>
      </w:pPr>
      <w:r>
        <w:t xml:space="preserve">Administrative Gold Is Not Semantic Ground Truth: Policy-Dependent Labels and Set-Valued Learning in Cross-Jurisdiction Text Classification</w:t>
      </w:r>
    </w:p>
    <w:p>
      <w:pPr>
        <w:pStyle w:val="FirstParagraph"/>
      </w:pPr>
      <w:r>
        <w:t xml:space="preserve">Alexander Apartsin</w:t>
      </w:r>
      <w:r>
        <w:rPr>
          <w:vertAlign w:val="superscript"/>
        </w:rPr>
        <w:t xml:space="preserve">1</w:t>
      </w:r>
      <w:r>
        <w:t xml:space="preserve">, Yehudit Aperstein</w:t>
      </w:r>
      <w:r>
        <w:rPr>
          <w:vertAlign w:val="superscript"/>
        </w:rPr>
        <w:t xml:space="preserve">2</w:t>
      </w:r>
    </w:p>
    <w:p>
      <w:pPr>
        <w:pStyle w:val="BodyText"/>
      </w:pPr>
      <w:r>
        <w:rPr>
          <w:vertAlign w:val="superscript"/>
        </w:rPr>
        <w:t xml:space="preserve">1</w:t>
      </w:r>
      <w:r>
        <w:t xml:space="preserve">School of Computer Science, Faculty of Sciences, Holon Institute of Technology (HIT), Holon, Israel  · </w:t>
      </w:r>
      <w:r>
        <w:t xml:space="preserve"> </w:t>
      </w:r>
      <w:r>
        <w:rPr>
          <w:vertAlign w:val="superscript"/>
        </w:rPr>
        <w:t xml:space="preserve">2</w:t>
      </w:r>
      <w:r>
        <w:t xml:space="preserve">Intelligent Systems, Afeka Academic College of Engineering, Tel-Aviv, Israel</w:t>
      </w:r>
    </w:p>
    <w:p>
      <w:pPr>
        <w:pStyle w:val="BodyText"/>
      </w:pPr>
      <w:r>
        <w:t xml:space="preserve">Working paper, August 2026 ·</w:t>
      </w:r>
      <w:r>
        <w:t xml:space="preserve"> </w:t>
      </w:r>
      <w:hyperlink r:id="rId20">
        <w:r>
          <w:rPr>
            <w:rStyle w:val="Hyperlink"/>
          </w:rPr>
          <w:t xml:space="preserve">Download DOCX</w:t>
        </w:r>
      </w:hyperlink>
      <w:r>
        <w:t xml:space="preserve"> </w:t>
      </w:r>
      <w:r>
        <w:t xml:space="preserve">· Code, data, and results:</w:t>
      </w:r>
      <w:r>
        <w:t xml:space="preserve"> </w:t>
      </w:r>
      <w:hyperlink r:id="rId21">
        <w:r>
          <w:rPr>
            <w:rStyle w:val="Hyperlink"/>
          </w:rPr>
          <w:t xml:space="preserve">github.com/ApartsinProjects/311</w:t>
        </w:r>
      </w:hyperlink>
    </w:p>
    <w:bookmarkStart w:id="22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Text-classification benchmarks assembled from operational labels, such as 311 service codes, clinical codes, or</w:t>
      </w:r>
      <w:r>
        <w:t xml:space="preserve"> </w:t>
      </w:r>
      <w:r>
        <w:t xml:space="preserve">moderation queues, treat those labels as semantic ground truth. But the category an institution records is a</w:t>
      </w:r>
      <w:r>
        <w:t xml:space="preserve"> </w:t>
      </w:r>
      <w:r>
        <w:rPr>
          <w:i/>
          <w:iCs/>
        </w:rPr>
        <w:t xml:space="preserve">policy</w:t>
      </w:r>
      <w:r>
        <w:t xml:space="preserve"> </w:t>
      </w:r>
      <w:r>
        <w:t xml:space="preserve">decision, not a property of the text: different institutions assign different labels to the same</w:t>
      </w:r>
      <w:r>
        <w:t xml:space="preserve"> </w:t>
      </w:r>
      <w:r>
        <w:t xml:space="preserve">content, so measured cross-domain shift conflates genuine semantic shift with policy shift. We separate the two.</w:t>
      </w:r>
      <w:r>
        <w:t xml:space="preserve"> </w:t>
      </w:r>
      <w:r>
        <w:t xml:space="preserve">An ensemble of blind LLM judges from independent vendors, each reading only the text and certified non-vacuous</w:t>
      </w:r>
      <w:r>
        <w:t xml:space="preserve"> </w:t>
      </w:r>
      <w:r>
        <w:t xml:space="preserve">by discriminant floors (a random label is accepted under 10% of the time), estimates the set of labels a text</w:t>
      </w:r>
      <w:r>
        <w:t xml:space="preserve"> </w:t>
      </w:r>
      <w:r>
        <w:t xml:space="preserve">semantically supports. We instantiate this on MC311, the first public multi-city free-text 311 benchmark (seven</w:t>
      </w:r>
      <w:r>
        <w:t xml:space="preserve"> </w:t>
      </w:r>
      <w:r>
        <w:t xml:space="preserve">US cities, ~156,000 narratives, one frozen 3,502-row test set). On MC311, 14.2% of recorded labels are not</w:t>
      </w:r>
      <w:r>
        <w:t xml:space="preserve"> </w:t>
      </w:r>
      <w:r>
        <w:t xml:space="preserve">entailed by the text and a third of requests admit several valid labels; crediting any text-defensible label</w:t>
      </w:r>
      <w:r>
        <w:t xml:space="preserve"> </w:t>
      </w:r>
      <w:r>
        <w:t xml:space="preserve">erases most of the apparent cross-jurisdiction gap (0.797 to 0.981 for the strongest model) and reverses which</w:t>
      </w:r>
      <w:r>
        <w:t xml:space="preserve"> </w:t>
      </w:r>
      <w:r>
        <w:t xml:space="preserve">of the top two models looks best. The disagreement is policy-dependent, not noise: for the same yard-waste</w:t>
      </w:r>
      <w:r>
        <w:t xml:space="preserve"> </w:t>
      </w:r>
      <w:r>
        <w:t xml:space="preserve">content, most cities record a Waste service code while Honolulu records Trees, and annotator ambiguity coincides</w:t>
      </w:r>
      <w:r>
        <w:t xml:space="preserve"> </w:t>
      </w:r>
      <w:r>
        <w:t xml:space="preserve">with model confusion (Spearman 0.75). Finally, training on the judges' acceptable sets rather than the single</w:t>
      </w:r>
      <w:r>
        <w:t xml:space="preserve"> </w:t>
      </w:r>
      <w:r>
        <w:t xml:space="preserve">administrative label improves cross-jurisdiction transfer on every one of the seven cities under the</w:t>
      </w:r>
      <w:r>
        <w:t xml:space="preserve"> </w:t>
      </w:r>
      <w:r>
        <w:t xml:space="preserve">defensibility metric (pooled 0.864 to 0.926), where naive relabeling to the text-content label instead hurts</w:t>
      </w:r>
      <w:r>
        <w:t xml:space="preserve"> </w:t>
      </w:r>
      <w:r>
        <w:t xml:space="preserve">cities whose service policy is stable. Administrative gold measures what an institution did, not what the text</w:t>
      </w:r>
      <w:r>
        <w:t xml:space="preserve"> </w:t>
      </w:r>
      <w:r>
        <w:t xml:space="preserve">means; MC311, the judge ensemble, and the set-valued training recipe are released.</w:t>
      </w:r>
    </w:p>
    <w:bookmarkEnd w:id="22"/>
    <w:bookmarkStart w:id="23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311 is the non-emergency municipal service channel used across the United States and Canada. Residents</w:t>
      </w:r>
      <w:r>
        <w:t xml:space="preserve"> </w:t>
      </w:r>
      <w:r>
        <w:t xml:space="preserve">report potholes, missed garbage collection, graffiti, broken streetlights, illegal dumping, encampments, and</w:t>
      </w:r>
      <w:r>
        <w:t xml:space="preserve"> </w:t>
      </w:r>
      <w:r>
        <w:t xml:space="preserve">hundreds of other conditions, often as free-text descriptions. These narratives are a large, renewable source</w:t>
      </w:r>
      <w:r>
        <w:t xml:space="preserve"> </w:t>
      </w:r>
      <w:r>
        <w:t xml:space="preserve">of civic text with direct operational value: routing a request to the right department, prioritizing it, and</w:t>
      </w:r>
      <w:r>
        <w:t xml:space="preserve"> </w:t>
      </w:r>
      <w:r>
        <w:t xml:space="preserve">detecting duplicates all begin with understanding what the text says.</w:t>
      </w:r>
    </w:p>
    <w:p>
      <w:pPr>
        <w:pStyle w:val="BodyText"/>
      </w:pPr>
      <w:r>
        <w:t xml:space="preserve">Two obstacles have kept 311 free text underused. First, most large open-data portals publish only a</w:t>
      </w:r>
      <w:r>
        <w:t xml:space="preserve"> </w:t>
      </w:r>
      <w:r>
        <w:t xml:space="preserve">structured category dropdown and omit the citizen narrative, so the text that would make the problem an NLP</w:t>
      </w:r>
      <w:r>
        <w:t xml:space="preserve"> </w:t>
      </w:r>
      <w:r>
        <w:t xml:space="preserve">problem is frequently unavailable. Second, the work that does use 311 text trains and evaluates on a single</w:t>
      </w:r>
      <w:r>
        <w:t xml:space="preserve"> </w:t>
      </w:r>
      <w:r>
        <w:t xml:space="preserve">city with a private split</w:t>
      </w:r>
      <w:r>
        <w:t xml:space="preserve"> </w:t>
      </w:r>
      <w:hyperlink w:anchor="r1">
        <w:r>
          <w:rPr>
            <w:rStyle w:val="Hyperlink"/>
            <w:vertAlign w:val="superscript"/>
          </w:rPr>
          <w:t xml:space="preserve">[1]</w:t>
        </w:r>
      </w:hyperlink>
      <w:r>
        <w:t xml:space="preserve">, so results are not</w:t>
      </w:r>
      <w:r>
        <w:t xml:space="preserve"> </w:t>
      </w:r>
      <w:r>
        <w:t xml:space="preserve">comparable across studies and say nothing about whether a model transfers to a new city with a different</w:t>
      </w:r>
      <w:r>
        <w:t xml:space="preserve"> </w:t>
      </w:r>
      <w:r>
        <w:t xml:space="preserve">taxonomy and reporting style.</w:t>
      </w:r>
    </w:p>
    <w:p>
      <w:pPr>
        <w:pStyle w:val="BodyText"/>
      </w:pPr>
      <w:r>
        <w:t xml:space="preserve">This paper reframes the question single-city work cannot ask. When a classifier appears to fail on a new</w:t>
      </w:r>
      <w:r>
        <w:t xml:space="preserve"> </w:t>
      </w:r>
      <w:r>
        <w:t xml:space="preserve">city, is the model wrong, or has the city simply made a different administrative decision about the same text?</w:t>
      </w:r>
      <w:r>
        <w:t xml:space="preserve"> </w:t>
      </w:r>
      <w:r>
        <w:t xml:space="preserve">An institution's recorded label is a policy choice, not a property of the text. Writing a request, a resident</w:t>
      </w:r>
      <w:r>
        <w:t xml:space="preserve"> </w:t>
      </w:r>
      <w:r>
        <w:t xml:space="preserve">describes a semantic state (what the request is about), but the city records an administrative label that also</w:t>
      </w:r>
      <w:r>
        <w:t xml:space="preserve"> </w:t>
      </w:r>
      <w:r>
        <w:t xml:space="preserve">depends on its own routing policy: two cities can read the same yard-waste request and, both defensibly, file it</w:t>
      </w:r>
      <w:r>
        <w:t xml:space="preserve"> </w:t>
      </w:r>
      <w:r>
        <w:t xml:space="preserve">under different codes. Standard evaluation treats the administrative label as ground truth for the semantic</w:t>
      </w:r>
      <w:r>
        <w:t xml:space="preserve"> </w:t>
      </w:r>
      <w:r>
        <w:t xml:space="preserve">state, so it charges a model for a policy difference as though it were a semantic error, and cross-jurisdiction</w:t>
      </w:r>
      <w:r>
        <w:t xml:space="preserve"> </w:t>
      </w:r>
      <w:r>
        <w:t xml:space="preserve">transfer loss conflates genuine domain shift with policy shift. We separate the two with an ensemble of blind</w:t>
      </w:r>
      <w:r>
        <w:t xml:space="preserve"> </w:t>
      </w:r>
      <w:r>
        <w:t xml:space="preserve">LLM judges that estimates the set of labels the text semantically supports, and show the separation changes both</w:t>
      </w:r>
      <w:r>
        <w:t xml:space="preserve"> </w:t>
      </w:r>
      <w:r>
        <w:t xml:space="preserve">how models are evaluated and how they should be trained. Our contributions are:</w:t>
      </w:r>
    </w:p>
    <w:p>
      <w:pPr>
        <w:pStyle w:val="Compact"/>
        <w:numPr>
          <w:ilvl w:val="0"/>
          <w:numId w:val="1001"/>
        </w:numPr>
      </w:pPr>
      <w:r>
        <w:t xml:space="preserve">A</w:t>
      </w:r>
      <w:r>
        <w:t xml:space="preserve"> </w:t>
      </w:r>
      <w:r>
        <w:rPr>
          <w:i/>
          <w:iCs/>
        </w:rPr>
        <w:t xml:space="preserve">formalization</w:t>
      </w:r>
      <w:r>
        <w:t xml:space="preserve"> </w:t>
      </w:r>
      <w:r>
        <w:t xml:space="preserve">that distinguishes the text-defensible semantic label set from the policy-dependent</w:t>
      </w:r>
      <w:r>
        <w:t xml:space="preserve"> </w:t>
      </w:r>
      <w:r>
        <w:t xml:space="preserve">administrative label a source records, and shows the two are measurably different (same content, different city</w:t>
      </w:r>
      <w:r>
        <w:t xml:space="preserve"> </w:t>
      </w:r>
      <w:r>
        <w:t xml:space="preserve">code) rather than one being noise.</w:t>
      </w:r>
    </w:p>
    <w:p>
      <w:pPr>
        <w:pStyle w:val="Compact"/>
        <w:numPr>
          <w:ilvl w:val="0"/>
          <w:numId w:val="1001"/>
        </w:numPr>
      </w:pPr>
      <w:r>
        <w:t xml:space="preserve">A</w:t>
      </w:r>
      <w:r>
        <w:t xml:space="preserve"> </w:t>
      </w:r>
      <w:r>
        <w:rPr>
          <w:i/>
          <w:iCs/>
        </w:rPr>
        <w:t xml:space="preserve">defensibility protocol</w:t>
      </w:r>
      <w:r>
        <w:t xml:space="preserve"> </w:t>
      </w:r>
      <w:r>
        <w:t xml:space="preserve">for benchmarks built from administrative labels: an ensemble of blind LLM</w:t>
      </w:r>
      <w:r>
        <w:t xml:space="preserve"> </w:t>
      </w:r>
      <w:r>
        <w:t xml:space="preserve">judges from independent vendors certifies the set of labels each text supports, with discriminant floors that</w:t>
      </w:r>
      <w:r>
        <w:t xml:space="preserve"> </w:t>
      </w:r>
      <w:r>
        <w:t xml:space="preserve">show the metric is not vacuously generous, a humans-free criterion for selecting reliable judges (validated</w:t>
      </w:r>
      <w:r>
        <w:t xml:space="preserve"> </w:t>
      </w:r>
      <w:r>
        <w:t xml:space="preserve">across five vendors), and a corpus-audit loop that turns the same judgments into bug-finding. The protocol is</w:t>
      </w:r>
      <w:r>
        <w:t xml:space="preserve"> </w:t>
      </w:r>
      <w:r>
        <w:t xml:space="preserve">corpus-agnostic: it recovers the same structure on a second administrative domain (CFPB consumer complaints,</w:t>
      </w:r>
      <w:r>
        <w:t xml:space="preserve"> </w:t>
      </w:r>
      <w:r>
        <w:t xml:space="preserve">0.89 cross-vendor agreement, 7.8% label noise, 28% multi-membership) but not on subjective-disagreement data</w:t>
      </w:r>
      <w:r>
        <w:t xml:space="preserve"> </w:t>
      </w:r>
      <w:r>
        <w:t xml:space="preserve">(ChaosNLI), which bounds its scope to policy/multi-membership labels.</w:t>
      </w:r>
    </w:p>
    <w:p>
      <w:pPr>
        <w:pStyle w:val="Compact"/>
        <w:numPr>
          <w:ilvl w:val="0"/>
          <w:numId w:val="1001"/>
        </w:numPr>
      </w:pPr>
      <w:r>
        <w:t xml:space="preserve">MC311, to our knowledge the first public multi-city free-text 311 resource: about 156,000 citizen</w:t>
      </w:r>
      <w:r>
        <w:t xml:space="preserve"> </w:t>
      </w:r>
      <w:r>
        <w:t xml:space="preserve">narratives from seven US cities, released as a single harmonized cross-city database in a shared 14-class label</w:t>
      </w:r>
      <w:r>
        <w:t xml:space="preserve"> </w:t>
      </w:r>
      <w:r>
        <w:t xml:space="preserve">space (each of 545 native categories mapped to a common class by an auditable rule set, with the native label</w:t>
      </w:r>
      <w:r>
        <w:t xml:space="preserve"> </w:t>
      </w:r>
      <w:r>
        <w:t xml:space="preserve">retained per row), plus one frozen aligned test split and a verified survey of which portals expose free text.</w:t>
      </w:r>
      <w:r>
        <w:t xml:space="preserve"> </w:t>
      </w:r>
      <w:r>
        <w:t xml:space="preserve">The harmonized common-label-space corpus is a reusable resource independent of the transfer and protocol</w:t>
      </w:r>
      <w:r>
        <w:t xml:space="preserve"> </w:t>
      </w:r>
      <w:r>
        <w:t xml:space="preserve">results below.</w:t>
      </w:r>
    </w:p>
    <w:p>
      <w:pPr>
        <w:pStyle w:val="Compact"/>
        <w:numPr>
          <w:ilvl w:val="0"/>
          <w:numId w:val="1001"/>
        </w:numPr>
      </w:pPr>
      <w:r>
        <w:t xml:space="preserve">Evidence that the mismatch is policy-dependent and consequential: 14.2% of recorded labels are not entailed</w:t>
      </w:r>
      <w:r>
        <w:t xml:space="preserve"> </w:t>
      </w:r>
      <w:r>
        <w:t xml:space="preserve">by the text; the disagreement varies by city policy rather than being noise (for identical yard-waste content,</w:t>
      </w:r>
      <w:r>
        <w:t xml:space="preserve"> </w:t>
      </w:r>
      <w:r>
        <w:t xml:space="preserve">most cities record a Waste service code while Honolulu records Trees); crediting any text-defensible label</w:t>
      </w:r>
      <w:r>
        <w:t xml:space="preserve"> </w:t>
      </w:r>
      <w:r>
        <w:t xml:space="preserve">erases most of the apparent cross-jurisdiction gap and reverses which of the two strongest models looks best;</w:t>
      </w:r>
      <w:r>
        <w:t xml:space="preserve"> </w:t>
      </w:r>
      <w:r>
        <w:t xml:space="preserve">and annotator ambiguity coincides with model confusion (Spearman 0.75).</w:t>
      </w:r>
    </w:p>
    <w:p>
      <w:pPr>
        <w:pStyle w:val="Compact"/>
        <w:numPr>
          <w:ilvl w:val="0"/>
          <w:numId w:val="1001"/>
        </w:numPr>
      </w:pPr>
      <w:r>
        <w:t xml:space="preserve">A</w:t>
      </w:r>
      <w:r>
        <w:t xml:space="preserve"> </w:t>
      </w:r>
      <w:r>
        <w:rPr>
          <w:i/>
          <w:iCs/>
        </w:rPr>
        <w:t xml:space="preserve">set-valued learning</w:t>
      </w:r>
      <w:r>
        <w:t xml:space="preserve"> </w:t>
      </w:r>
      <w:r>
        <w:t xml:space="preserve">result: training on the judges' acceptable sets rather than the single</w:t>
      </w:r>
      <w:r>
        <w:t xml:space="preserve"> </w:t>
      </w:r>
      <w:r>
        <w:t xml:space="preserve">administrative label improves cross-jurisdiction transfer on all seven cities under the defensibility metric</w:t>
      </w:r>
      <w:r>
        <w:t xml:space="preserve"> </w:t>
      </w:r>
      <w:r>
        <w:t xml:space="preserve">(pooled 0.864 to 0.926), whereas naive hard-relabeling to the text-content label hurts the cities whose service</w:t>
      </w:r>
      <w:r>
        <w:t xml:space="preserve"> </w:t>
      </w:r>
      <w:r>
        <w:t xml:space="preserve">policy is stable, evidence that the semantic target and the policy target must be modeled separately.</w:t>
      </w:r>
    </w:p>
    <w:p>
      <w:pPr>
        <w:pStyle w:val="Compact"/>
        <w:numPr>
          <w:ilvl w:val="0"/>
          <w:numId w:val="1001"/>
        </w:numPr>
      </w:pPr>
      <w:r>
        <w:t xml:space="preserve">MC311 as substrate: a transfer study (TF-IDF, fine-tuned DistilBERT, zero-shot LLM) with a large,</w:t>
      </w:r>
      <w:r>
        <w:t xml:space="preserve"> </w:t>
      </w:r>
      <w:r>
        <w:t xml:space="preserve">significant cross-jurisdiction gap concentrated in rare, city-idiosyncratic classes; and an ambiguity-derived</w:t>
      </w:r>
      <w:r>
        <w:t xml:space="preserve"> </w:t>
      </w:r>
      <w:r>
        <w:t xml:space="preserve">taxonomy revision that removes residual ambiguity more efficiently than any equal-size random merge.</w:t>
      </w:r>
    </w:p>
    <w:p>
      <w:pPr>
        <w:pStyle w:val="FirstParagraph"/>
      </w:pPr>
      <w:r>
        <w:t xml:space="preserve">The construct distinction is the point. Any benchmark built by harvesting the labels an institution already</w:t>
      </w:r>
      <w:r>
        <w:t xml:space="preserve"> </w:t>
      </w:r>
      <w:r>
        <w:t xml:space="preserve">recorded inherits a policy decision as if it were semantic ground truth; a multi-city 311 corpus, where seven</w:t>
      </w:r>
      <w:r>
        <w:t xml:space="preserve"> </w:t>
      </w:r>
      <w:r>
        <w:t xml:space="preserve">bureaucracies labeled the same kinds of request differently, makes the mismatch measurable. We show it is large,</w:t>
      </w:r>
      <w:r>
        <w:t xml:space="preserve"> </w:t>
      </w:r>
      <w:r>
        <w:t xml:space="preserve">policy-structured, and consequential enough to change which model a leaderboard prefers and how a model should</w:t>
      </w:r>
      <w:r>
        <w:t xml:space="preserve"> </w:t>
      </w:r>
      <w:r>
        <w:t xml:space="preserve">be trained, and we release the instrument that measures it.</w:t>
      </w:r>
    </w:p>
    <w:bookmarkEnd w:id="23"/>
    <w:bookmarkStart w:id="29" w:name="related-work"/>
    <w:p>
      <w:pPr>
        <w:pStyle w:val="Heading2"/>
      </w:pPr>
      <w:r>
        <w:t xml:space="preserve">2. Related work</w:t>
      </w:r>
    </w:p>
    <w:bookmarkStart w:id="24" w:name="X5fb5855b993ac7dc9bcc0859b0dfbeff1c94711"/>
    <w:p>
      <w:pPr>
        <w:pStyle w:val="Heading3"/>
      </w:pPr>
      <w:r>
        <w:t xml:space="preserve">2.1 311 and civic service-request text classification</w:t>
      </w:r>
    </w:p>
    <w:p>
      <w:pPr>
        <w:pStyle w:val="FirstParagraph"/>
      </w:pPr>
      <w:r>
        <w:t xml:space="preserve">Applied 311 classification centers on complaint-type and department routing. Hashemi</w:t>
      </w:r>
      <w:r>
        <w:t xml:space="preserve"> </w:t>
      </w:r>
      <w:hyperlink w:anchor="r1">
        <w:r>
          <w:rPr>
            <w:rStyle w:val="Hyperlink"/>
            <w:vertAlign w:val="superscript"/>
          </w:rPr>
          <w:t xml:space="preserve">[1]</w:t>
        </w:r>
      </w:hyperlink>
      <w:r>
        <w:t xml:space="preserve"> </w:t>
      </w:r>
      <w:r>
        <w:t xml:space="preserve">classifies 311 request type from customer descriptions and, closest to our</w:t>
      </w:r>
      <w:r>
        <w:t xml:space="preserve"> </w:t>
      </w:r>
      <w:r>
        <w:t xml:space="preserve">setting, harmonizes categories across two cities. Sukel et al.</w:t>
      </w:r>
      <w:r>
        <w:t xml:space="preserve"> </w:t>
      </w:r>
      <w:hyperlink w:anchor="r3">
        <w:r>
          <w:rPr>
            <w:rStyle w:val="Hyperlink"/>
            <w:vertAlign w:val="superscript"/>
          </w:rPr>
          <w:t xml:space="preserve">[3]</w:t>
        </w:r>
      </w:hyperlink>
      <w:r>
        <w:t xml:space="preserve"> </w:t>
      </w:r>
      <w:r>
        <w:t xml:space="preserve">route</w:t>
      </w:r>
      <w:r>
        <w:t xml:space="preserve"> </w:t>
      </w:r>
      <w:r>
        <w:t xml:space="preserve">citizen-reported micro-events to city departments in Amsterdam using text, image, and location. Masdeval and</w:t>
      </w:r>
      <w:r>
        <w:t xml:space="preserve"> </w:t>
      </w:r>
      <w:r>
        <w:t xml:space="preserve">Veloso</w:t>
      </w:r>
      <w:r>
        <w:t xml:space="preserve"> </w:t>
      </w:r>
      <w:hyperlink w:anchor="r4">
        <w:r>
          <w:rPr>
            <w:rStyle w:val="Hyperlink"/>
            <w:vertAlign w:val="superscript"/>
          </w:rPr>
          <w:t xml:space="preserve">[4]</w:t>
        </w:r>
      </w:hyperlink>
      <w:r>
        <w:t xml:space="preserve"> </w:t>
      </w:r>
      <w:r>
        <w:t xml:space="preserve">estimate urgency from SeeClickFix report text. These studies are</w:t>
      </w:r>
      <w:r>
        <w:t xml:space="preserve"> </w:t>
      </w:r>
      <w:r>
        <w:t xml:space="preserve">single-platform or two-city; none provides a public multi-city benchmark with fixed splits. Nalchigar and Fox</w:t>
      </w:r>
      <w:r>
        <w:t xml:space="preserve"> </w:t>
      </w:r>
      <w:r>
        <w:t xml:space="preserve">build a 311 reference ontology to align service codes across cities</w:t>
      </w:r>
      <w:r>
        <w:t xml:space="preserve"> </w:t>
      </w:r>
      <w:hyperlink w:anchor="r18">
        <w:r>
          <w:rPr>
            <w:rStyle w:val="Hyperlink"/>
            <w:vertAlign w:val="superscript"/>
          </w:rPr>
          <w:t xml:space="preserve">[18]</w:t>
        </w:r>
      </w:hyperlink>
      <w:r>
        <w:t xml:space="preserve">, the</w:t>
      </w:r>
      <w:r>
        <w:t xml:space="preserve"> </w:t>
      </w:r>
      <w:r>
        <w:t xml:space="preserve">closest precedent to our harmonization, but release no public benchmark or evaluation splits, and White and</w:t>
      </w:r>
      <w:r>
        <w:t xml:space="preserve"> </w:t>
      </w:r>
      <w:r>
        <w:t xml:space="preserve">Trump caution that 311 reporting is a noisy, biased signal of citizen need</w:t>
      </w:r>
      <w:r>
        <w:t xml:space="preserve"> </w:t>
      </w:r>
      <w:hyperlink w:anchor="r24">
        <w:r>
          <w:rPr>
            <w:rStyle w:val="Hyperlink"/>
            <w:vertAlign w:val="superscript"/>
          </w:rPr>
          <w:t xml:space="preserve">[24]</w:t>
        </w:r>
      </w:hyperlink>
      <w:r>
        <w:t xml:space="preserve">.</w:t>
      </w:r>
      <w:r>
        <w:t xml:space="preserve"> </w:t>
      </w:r>
      <w:r>
        <w:t xml:space="preserve">We are aware of no peer-reviewed US-city transformer-on-311 routing benchmark, which is the gap we fill.</w:t>
      </w:r>
    </w:p>
    <w:bookmarkEnd w:id="24"/>
    <w:bookmarkStart w:id="25" w:name="X992458992748ac1c44ad1a7dd367cee43133e72"/>
    <w:p>
      <w:pPr>
        <w:pStyle w:val="Heading3"/>
      </w:pPr>
      <w:r>
        <w:t xml:space="preserve">2.2 Cross-domain and cross-jurisdiction generalization</w:t>
      </w:r>
    </w:p>
    <w:p>
      <w:pPr>
        <w:pStyle w:val="FirstParagraph"/>
      </w:pPr>
      <w:r>
        <w:t xml:space="preserve">Our leave-one-city-out protocol is the text instance of leave-one-domain-out domain generalization</w:t>
      </w:r>
      <w:r>
        <w:t xml:space="preserve"> </w:t>
      </w:r>
      <w:hyperlink w:anchor="r5">
        <w:r>
          <w:rPr>
            <w:rStyle w:val="Hyperlink"/>
            <w:vertAlign w:val="superscript"/>
          </w:rPr>
          <w:t xml:space="preserve">[5]</w:t>
        </w:r>
      </w:hyperlink>
      <w:r>
        <w:t xml:space="preserve">, and out-of-distribution generalization is a persistent problem in text</w:t>
      </w:r>
      <w:r>
        <w:t xml:space="preserve"> </w:t>
      </w:r>
      <w:r>
        <w:t xml:space="preserve">classification specifically</w:t>
      </w:r>
      <w:r>
        <w:t xml:space="preserve"> </w:t>
      </w:r>
      <w:hyperlink w:anchor="r6">
        <w:r>
          <w:rPr>
            <w:rStyle w:val="Hyperlink"/>
            <w:vertAlign w:val="superscript"/>
          </w:rPr>
          <w:t xml:space="preserve">[6]</w:t>
        </w:r>
      </w:hyperlink>
      <w:r>
        <w:t xml:space="preserve">; surveys of NLP domain adaptation</w:t>
      </w:r>
      <w:r>
        <w:t xml:space="preserve"> </w:t>
      </w:r>
      <w:hyperlink w:anchor="r14">
        <w:r>
          <w:rPr>
            <w:rStyle w:val="Hyperlink"/>
            <w:vertAlign w:val="superscript"/>
          </w:rPr>
          <w:t xml:space="preserve">[14]</w:t>
        </w:r>
      </w:hyperlink>
      <w:r>
        <w:t xml:space="preserve"> </w:t>
      </w:r>
      <w:r>
        <w:t xml:space="preserve">and the strong-baseline lessons of DomainBed</w:t>
      </w:r>
      <w:r>
        <w:t xml:space="preserve"> </w:t>
      </w:r>
      <w:hyperlink w:anchor="r21">
        <w:r>
          <w:rPr>
            <w:rStyle w:val="Hyperlink"/>
            <w:vertAlign w:val="superscript"/>
          </w:rPr>
          <w:t xml:space="preserve">[21]</w:t>
        </w:r>
      </w:hyperlink>
      <w:r>
        <w:t xml:space="preserve"> </w:t>
      </w:r>
      <w:r>
        <w:t xml:space="preserve">inform our setup. We treat each city as a domain whose taxonomy and register shift jointly.</w:t>
      </w:r>
    </w:p>
    <w:bookmarkEnd w:id="25"/>
    <w:bookmarkStart w:id="26" w:name="X270759e30e44273df6406f8e5efd5340823f87d"/>
    <w:p>
      <w:pPr>
        <w:pStyle w:val="Heading3"/>
      </w:pPr>
      <w:r>
        <w:t xml:space="preserve">2.3 Label noise, artifacts, and benchmark validity</w:t>
      </w:r>
    </w:p>
    <w:p>
      <w:pPr>
        <w:pStyle w:val="FirstParagraph"/>
      </w:pPr>
      <w:r>
        <w:t xml:space="preserve">Pervasive label errors destabilize benchmark rankings</w:t>
      </w:r>
      <w:r>
        <w:t xml:space="preserve"> </w:t>
      </w:r>
      <w:hyperlink w:anchor="r7">
        <w:r>
          <w:rPr>
            <w:rStyle w:val="Hyperlink"/>
            <w:vertAlign w:val="superscript"/>
          </w:rPr>
          <w:t xml:space="preserve">[7]</w:t>
        </w:r>
      </w:hyperlink>
      <w:r>
        <w:t xml:space="preserve">, annotation</w:t>
      </w:r>
      <w:r>
        <w:t xml:space="preserve"> </w:t>
      </w:r>
      <w:r>
        <w:t xml:space="preserve">protocols leak label-correlated artifacts</w:t>
      </w:r>
      <w:r>
        <w:t xml:space="preserve"> </w:t>
      </w:r>
      <w:hyperlink w:anchor="r8">
        <w:r>
          <w:rPr>
            <w:rStyle w:val="Hyperlink"/>
            <w:vertAlign w:val="superscript"/>
          </w:rPr>
          <w:t xml:space="preserve">[8]</w:t>
        </w:r>
      </w:hyperlink>
      <w:r>
        <w:t xml:space="preserve">, and single benchmarks often</w:t>
      </w:r>
      <w:r>
        <w:t xml:space="preserve"> </w:t>
      </w:r>
      <w:r>
        <w:t xml:space="preserve">measure less than their headline suggests</w:t>
      </w:r>
      <w:r>
        <w:t xml:space="preserve"> </w:t>
      </w:r>
      <w:hyperlink w:anchor="r9">
        <w:r>
          <w:rPr>
            <w:rStyle w:val="Hyperlink"/>
            <w:vertAlign w:val="superscript"/>
          </w:rPr>
          <w:t xml:space="preserve">[9]</w:t>
        </w:r>
      </w:hyperlink>
      <w:r>
        <w:t xml:space="preserve">. A parallel</w:t>
      </w:r>
      <w:r>
        <w:t xml:space="preserve"> </w:t>
      </w:r>
      <w:r>
        <w:t xml:space="preserve">line in perspectivist NLP argues that human label variation is often legitimate rather than error, and that</w:t>
      </w:r>
      <w:r>
        <w:t xml:space="preserve"> </w:t>
      </w:r>
      <w:r>
        <w:t xml:space="preserve">evaluation should credit multiple valid labels</w:t>
      </w:r>
      <w:r>
        <w:t xml:space="preserve"> </w:t>
      </w:r>
      <w:hyperlink w:anchor="r15">
        <w:r>
          <w:rPr>
            <w:rStyle w:val="Hyperlink"/>
            <w:vertAlign w:val="superscript"/>
          </w:rPr>
          <w:t xml:space="preserve">[15]</w:t>
        </w:r>
      </w:hyperlink>
      <w:r>
        <w:rPr>
          <w:vertAlign w:val="superscript"/>
        </w:rPr>
        <w:t xml:space="preserve">,</w:t>
      </w:r>
      <w:hyperlink w:anchor="r16">
        <w:r>
          <w:rPr>
            <w:rStyle w:val="Hyperlink"/>
            <w:vertAlign w:val="superscript"/>
          </w:rPr>
          <w:t xml:space="preserve">[16]</w:t>
        </w:r>
      </w:hyperlink>
      <w:r>
        <w:rPr>
          <w:vertAlign w:val="superscript"/>
        </w:rPr>
        <w:t xml:space="preserve">,</w:t>
      </w:r>
      <w:hyperlink w:anchor="r17">
        <w:r>
          <w:rPr>
            <w:rStyle w:val="Hyperlink"/>
            <w:vertAlign w:val="superscript"/>
          </w:rPr>
          <w:t xml:space="preserve">[17]</w:t>
        </w:r>
      </w:hyperlink>
      <w:r>
        <w:rPr>
          <w:vertAlign w:val="superscript"/>
        </w:rPr>
        <w:t xml:space="preserve">,</w:t>
      </w:r>
      <w:hyperlink w:anchor="r23">
        <w:r>
          <w:rPr>
            <w:rStyle w:val="Hyperlink"/>
            <w:vertAlign w:val="superscript"/>
          </w:rPr>
          <w:t xml:space="preserve">[23]</w:t>
        </w:r>
      </w:hyperlink>
      <w:r>
        <w:t xml:space="preserve">;</w:t>
      </w:r>
      <w:r>
        <w:t xml:space="preserve"> </w:t>
      </w:r>
      <w:r>
        <w:t xml:space="preserve">our acceptable-set metric is an instance of this ambiguity-aware evaluation. Administrative-code harmonization,</w:t>
      </w:r>
      <w:r>
        <w:t xml:space="preserve"> </w:t>
      </w:r>
      <w:r>
        <w:t xml:space="preserve">such as occupation coding</w:t>
      </w:r>
      <w:r>
        <w:t xml:space="preserve"> </w:t>
      </w:r>
      <w:hyperlink w:anchor="r10">
        <w:r>
          <w:rPr>
            <w:rStyle w:val="Hyperlink"/>
            <w:vertAlign w:val="superscript"/>
          </w:rPr>
          <w:t xml:space="preserve">[10]</w:t>
        </w:r>
      </w:hyperlink>
      <w:hyperlink w:anchor="r20">
        <w:r>
          <w:rPr>
            <w:rStyle w:val="Hyperlink"/>
            <w:vertAlign w:val="superscript"/>
          </w:rPr>
          <w:t xml:space="preserve">,[20]</w:t>
        </w:r>
      </w:hyperlink>
      <w:r>
        <w:t xml:space="preserve"> </w:t>
      </w:r>
      <w:r>
        <w:t xml:space="preserve">and medical coding from</w:t>
      </w:r>
      <w:r>
        <w:t xml:space="preserve"> </w:t>
      </w:r>
      <w:r>
        <w:t xml:space="preserve">clinical text</w:t>
      </w:r>
      <w:r>
        <w:t xml:space="preserve"> </w:t>
      </w:r>
      <w:hyperlink w:anchor="r19">
        <w:r>
          <w:rPr>
            <w:rStyle w:val="Hyperlink"/>
            <w:vertAlign w:val="superscript"/>
          </w:rPr>
          <w:t xml:space="preserve">[19]</w:t>
        </w:r>
      </w:hyperlink>
      <w:r>
        <w:t xml:space="preserve">, is a direct analogue: short text mapped to a contested</w:t>
      </w:r>
      <w:r>
        <w:t xml:space="preserve"> </w:t>
      </w:r>
      <w:r>
        <w:t xml:space="preserve">hierarchical code. Our gap analysis applies this lens to cross-jurisdiction transfer.</w:t>
      </w:r>
    </w:p>
    <w:bookmarkEnd w:id="26"/>
    <w:bookmarkStart w:id="27" w:name="X6eb18574c758212910494a936ccf31038e4de6d"/>
    <w:p>
      <w:pPr>
        <w:pStyle w:val="Heading3"/>
      </w:pPr>
      <w:r>
        <w:t xml:space="preserve">2.4 Zero-shot LLMs versus fine-tuned encoders</w:t>
      </w:r>
    </w:p>
    <w:p>
      <w:pPr>
        <w:pStyle w:val="FirstParagraph"/>
      </w:pPr>
      <w:r>
        <w:t xml:space="preserve">Zero-shot text classification via label descriptions and entailment</w:t>
      </w:r>
      <w:r>
        <w:t xml:space="preserve"> </w:t>
      </w:r>
      <w:hyperlink w:anchor="r11">
        <w:r>
          <w:rPr>
            <w:rStyle w:val="Hyperlink"/>
            <w:vertAlign w:val="superscript"/>
          </w:rPr>
          <w:t xml:space="preserve">[11]</w:t>
        </w:r>
      </w:hyperlink>
      <w:r>
        <w:t xml:space="preserve"> </w:t>
      </w:r>
      <w:r>
        <w:t xml:space="preserve">is</w:t>
      </w:r>
      <w:r>
        <w:t xml:space="preserve"> </w:t>
      </w:r>
      <w:r>
        <w:t xml:space="preserve">the paradigm our LLM arm uses (the taxonomy and glosses go in the prompt). Fine-tuned small encoders often</w:t>
      </w:r>
      <w:r>
        <w:t xml:space="preserve"> </w:t>
      </w:r>
      <w:r>
        <w:t xml:space="preserve">still beat zero-shot generative models within a domain</w:t>
      </w:r>
      <w:r>
        <w:t xml:space="preserve"> </w:t>
      </w:r>
      <w:hyperlink w:anchor="r12">
        <w:r>
          <w:rPr>
            <w:rStyle w:val="Hyperlink"/>
            <w:vertAlign w:val="superscript"/>
          </w:rPr>
          <w:t xml:space="preserve">[12]</w:t>
        </w:r>
      </w:hyperlink>
      <w:r>
        <w:t xml:space="preserve">; our contribution</w:t>
      </w:r>
      <w:r>
        <w:t xml:space="preserve"> </w:t>
      </w:r>
      <w:r>
        <w:t xml:space="preserve">is to compare them under domain shift, where the frozen label space of the fine-tuned model becomes a</w:t>
      </w:r>
      <w:r>
        <w:t xml:space="preserve"> </w:t>
      </w:r>
      <w:r>
        <w:t xml:space="preserve">liability. Label-semantic pretraining injects label descriptions into the model</w:t>
      </w:r>
      <w:r>
        <w:t xml:space="preserve"> </w:t>
      </w:r>
      <w:hyperlink w:anchor="r22">
        <w:r>
          <w:rPr>
            <w:rStyle w:val="Hyperlink"/>
            <w:vertAlign w:val="superscript"/>
          </w:rPr>
          <w:t xml:space="preserve">[22]</w:t>
        </w:r>
      </w:hyperlink>
      <w:r>
        <w:t xml:space="preserve">,</w:t>
      </w:r>
      <w:r>
        <w:t xml:space="preserve"> </w:t>
      </w:r>
      <w:r>
        <w:t xml:space="preserve">which our sentence-transformer and NLI baselines approximate at inference time.</w:t>
      </w:r>
    </w:p>
    <w:bookmarkEnd w:id="27"/>
    <w:bookmarkStart w:id="28" w:name="civic-tech-datasets-and-311-equity"/>
    <w:p>
      <w:pPr>
        <w:pStyle w:val="Heading3"/>
      </w:pPr>
      <w:r>
        <w:t xml:space="preserve">2.5 Civic-tech datasets and 311 equity</w:t>
      </w:r>
    </w:p>
    <w:p>
      <w:pPr>
        <w:pStyle w:val="FirstParagraph"/>
      </w:pPr>
      <w:r>
        <w:t xml:space="preserve">311 reporting propensity varies with neighborhood demographics</w:t>
      </w:r>
      <w:r>
        <w:t xml:space="preserve"> </w:t>
      </w:r>
      <w:hyperlink w:anchor="r13">
        <w:r>
          <w:rPr>
            <w:rStyle w:val="Hyperlink"/>
            <w:vertAlign w:val="superscript"/>
          </w:rPr>
          <w:t xml:space="preserve">[13]</w:t>
        </w:r>
      </w:hyperlink>
      <w:r>
        <w:t xml:space="preserve">, and the</w:t>
      </w:r>
      <w:r>
        <w:t xml:space="preserve"> </w:t>
      </w:r>
      <w:r>
        <w:t xml:space="preserve">category mix of requests characterizes urban location</w:t>
      </w:r>
      <w:r>
        <w:t xml:space="preserve"> </w:t>
      </w:r>
      <w:hyperlink w:anchor="r2">
        <w:r>
          <w:rPr>
            <w:rStyle w:val="Hyperlink"/>
            <w:vertAlign w:val="superscript"/>
          </w:rPr>
          <w:t xml:space="preserve">[2]</w:t>
        </w:r>
      </w:hyperlink>
      <w:r>
        <w:t xml:space="preserve">. This structured-data</w:t>
      </w:r>
      <w:r>
        <w:t xml:space="preserve"> </w:t>
      </w:r>
      <w:r>
        <w:t xml:space="preserve">tradition motivates treating city labels as noisy and non-neutral, which our judge quantifies directly.</w:t>
      </w:r>
    </w:p>
    <w:bookmarkEnd w:id="28"/>
    <w:bookmarkEnd w:id="29"/>
    <w:bookmarkStart w:id="36" w:name="corpus-construction"/>
    <w:p>
      <w:pPr>
        <w:pStyle w:val="Heading2"/>
      </w:pPr>
      <w:r>
        <w:t xml:space="preserve">3. Corpus construction</w:t>
      </w:r>
    </w:p>
    <w:p>
      <w:pPr>
        <w:pStyle w:val="CaptionedFigure"/>
      </w:pPr>
      <w:r>
        <w:drawing>
          <wp:inline>
            <wp:extent cx="5334000" cy="698470"/>
            <wp:effectExtent b="0" l="0" r="0" t="0"/>
            <wp:docPr descr="Corpus construction pipeline" title="" id="31" name="Picture"/>
            <a:graphic>
              <a:graphicData uri="http://schemas.openxmlformats.org/drawingml/2006/picture">
                <pic:pic>
                  <pic:nvPicPr>
                    <pic:cNvPr descr="fig_corpus_flow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984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b/>
          <w:bCs/>
        </w:rPr>
        <w:t xml:space="preserve">Figure 1.</w:t>
      </w:r>
      <w:r>
        <w:t xml:space="preserve"> </w:t>
      </w:r>
      <w:r>
        <w:t xml:space="preserve">Corpus construction: from probed municipal portals to the frozen</w:t>
      </w:r>
      <w:r>
        <w:t xml:space="preserve"> </w:t>
      </w:r>
      <w:r>
        <w:t xml:space="preserve">MC311 benchmark, through free-text confirmation, harmonization, administrative-category removal, an</w:t>
      </w:r>
      <w:r>
        <w:t xml:space="preserve"> </w:t>
      </w:r>
      <w:r>
        <w:t xml:space="preserve">informativeness filter, and PII scrubbing.</w:t>
      </w:r>
    </w:p>
    <w:bookmarkStart w:id="33" w:name="the-free-text-availability-problem"/>
    <w:p>
      <w:pPr>
        <w:pStyle w:val="Heading3"/>
      </w:pPr>
      <w:r>
        <w:t xml:space="preserve">3.1 The free-text availability problem</w:t>
      </w:r>
    </w:p>
    <w:p>
      <w:pPr>
        <w:pStyle w:val="FirstParagraph"/>
      </w:pPr>
      <w:r>
        <w:t xml:space="preserve">We assemble MC311 in the stages of Figure 1. The first design constraint is that genuine citizen narrative</w:t>
      </w:r>
      <w:r>
        <w:t xml:space="preserve"> </w:t>
      </w:r>
      <w:r>
        <w:t xml:space="preserve">is scarce across cities. We verified by</w:t>
      </w:r>
      <w:r>
        <w:t xml:space="preserve"> </w:t>
      </w:r>
      <w:r>
        <w:t xml:space="preserve">direct probing that the largest portals (New York, Chicago, Los Angeles, Dallas, Washington) expose only</w:t>
      </w:r>
      <w:r>
        <w:t xml:space="preserve"> </w:t>
      </w:r>
      <w:r>
        <w:t xml:space="preserve">structured category fields; columns that look textual, such as</w:t>
      </w:r>
      <w:r>
        <w:t xml:space="preserve"> </w:t>
      </w:r>
      <w:r>
        <w:rPr>
          <w:rStyle w:val="VerbatimChar"/>
        </w:rPr>
        <w:t xml:space="preserve">descriptor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resolution_description</w:t>
      </w:r>
      <w:r>
        <w:t xml:space="preserve">, are templated dropdown values, not narratives. Free text lives instead in</w:t>
      </w:r>
      <w:r>
        <w:t xml:space="preserve"> </w:t>
      </w:r>
      <w:r>
        <w:t xml:space="preserve">the Open311 API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 </w:t>
      </w:r>
      <w:r>
        <w:t xml:space="preserve">field and in the app-based platforms that some mid-size cities</w:t>
      </w:r>
      <w:r>
        <w:t xml:space="preserve"> </w:t>
      </w:r>
      <w:r>
        <w:t xml:space="preserve">republish to their open portals. We assembled the corpus from sources where a populated citizen narrative was</w:t>
      </w:r>
      <w:r>
        <w:t xml:space="preserve"> </w:t>
      </w:r>
      <w:r>
        <w:t xml:space="preserve">confirmed by inspection.</w:t>
      </w:r>
    </w:p>
    <w:bookmarkEnd w:id="33"/>
    <w:bookmarkStart w:id="34" w:name="cities"/>
    <w:p>
      <w:pPr>
        <w:pStyle w:val="Heading3"/>
      </w:pPr>
      <w:r>
        <w:t xml:space="preserve">3.2 Cities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Content rows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 field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Register / source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Baton Rouge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44,226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comments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call-center transcription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Bloomington 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39,954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web/app, terse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Richmond VA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36,974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SeeClickFix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Auburn WA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20,122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SeeClickFix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Gainesville FL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11,544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myGNV app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Honolulu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2,141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letter-style, rich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San Francisco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1,455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Open311 API</w:t>
            </w:r>
          </w:p>
        </w:tc>
      </w:tr>
    </w:tbl>
    <w:p>
      <w:pPr>
        <w:pStyle w:val="BodyText"/>
      </w:pPr>
      <w:r>
        <w:t xml:space="preserve">Table 1. Seven cities with confirmed citizen free text and a category label, after harmonization,</w:t>
      </w:r>
      <w:r>
        <w:t xml:space="preserve"> </w:t>
      </w:r>
      <w:r>
        <w:t xml:space="preserve">exclusion of administrative categories, and the informativeness filter (Section 3.3). Register varies sharply,</w:t>
      </w:r>
      <w:r>
        <w:t xml:space="preserve"> </w:t>
      </w:r>
      <w:r>
        <w:t xml:space="preserve">from transcribed phone calls to written letters to terse app reports, a source of domain shift that is</w:t>
      </w:r>
      <w:r>
        <w:t xml:space="preserve"> </w:t>
      </w:r>
      <w:r>
        <w:t xml:space="preserve">confounded with jurisdiction and that we return to in Section 9.</w:t>
      </w:r>
    </w:p>
    <w:bookmarkEnd w:id="34"/>
    <w:bookmarkStart w:id="35" w:name="text-hygiene-and-informativeness"/>
    <w:p>
      <w:pPr>
        <w:pStyle w:val="Heading3"/>
      </w:pPr>
      <w:r>
        <w:t xml:space="preserve">3.3 Text hygiene and informativeness</w:t>
      </w:r>
    </w:p>
    <w:p>
      <w:pPr>
        <w:pStyle w:val="FirstParagraph"/>
      </w:pPr>
      <w:r>
        <w:t xml:space="preserve">Raw 311 text contains call-center shorthand that carries no signal (</w:t>
      </w:r>
      <w:r>
        <w:rPr>
          <w:rStyle w:val="VerbatimChar"/>
        </w:rPr>
        <w:t xml:space="preserve">B/U</w:t>
      </w:r>
      <w:r>
        <w:t xml:space="preserve">,</w:t>
      </w:r>
      <w:r>
        <w:t xml:space="preserve"> </w:t>
      </w:r>
      <w:r>
        <w:rPr>
          <w:rStyle w:val="VerbatimChar"/>
        </w:rPr>
        <w:t xml:space="preserve">o.w.</w:t>
      </w:r>
      <w:r>
        <w:t xml:space="preserve">,</w:t>
      </w:r>
      <w:r>
        <w:t xml:space="preserve"> </w:t>
      </w:r>
      <w:r>
        <w:rPr>
          <w:rStyle w:val="VerbatimChar"/>
        </w:rPr>
        <w:t xml:space="preserve">no sticker</w:t>
      </w:r>
      <w:r>
        <w:t xml:space="preserve">) and stub entries (</w:t>
      </w:r>
      <w:r>
        <w:rPr>
          <w:rStyle w:val="VerbatimChar"/>
        </w:rPr>
        <w:t xml:space="preserve">Test1</w:t>
      </w:r>
      <w:r>
        <w:t xml:space="preserve">). We apply an informativeness filter that</w:t>
      </w:r>
      <w:r>
        <w:t xml:space="preserve"> </w:t>
      </w:r>
      <w:r>
        <w:t xml:space="preserve">removes rows shorter than three content tokens or matching a shorthand blacklist. The filter removes 8.1% of</w:t>
      </w:r>
      <w:r>
        <w:t xml:space="preserve"> </w:t>
      </w:r>
      <w:r>
        <w:t xml:space="preserve">rows, concentrated in the tersest city (Bloomington, 18%) and negligible in the letter-style city (Honolulu,</w:t>
      </w:r>
      <w:r>
        <w:t xml:space="preserve"> </w:t>
      </w:r>
      <w:r>
        <w:t xml:space="preserve">1%); manual inspection confirms it drops noise, not signal, and an earlier per-city run found its effect on scores</w:t>
      </w:r>
      <w:r>
        <w:t xml:space="preserve"> </w:t>
      </w:r>
      <w:r>
        <w:t xml:space="preserve">to be small (about +0.01 macro-F1). The canonical benchmark uses the filtered subset, fixed before the</w:t>
      </w:r>
      <w:r>
        <w:t xml:space="preserve"> </w:t>
      </w:r>
      <w:r>
        <w:t xml:space="preserve">evaluation split was drawn. Median request length ranges from 9 tokens</w:t>
      </w:r>
      <w:r>
        <w:t xml:space="preserve"> </w:t>
      </w:r>
      <w:r>
        <w:t xml:space="preserve">(Bloomington) to 24 (Honolulu), and only in the two most verbose cities do more than a tenth of requests</w:t>
      </w:r>
      <w:r>
        <w:t xml:space="preserve"> </w:t>
      </w:r>
      <w:r>
        <w:t xml:space="preserve">exceed the 64-token cap used by the encoder (Honolulu 14%, Gainesville 11%; under 2% elsewhere), which both</w:t>
      </w:r>
      <w:r>
        <w:t xml:space="preserve"> </w:t>
      </w:r>
      <w:r>
        <w:t xml:space="preserve">evidences the register shift and bounds any truncation effect. Requests also contain street addresses and</w:t>
      </w:r>
      <w:r>
        <w:t xml:space="preserve"> </w:t>
      </w:r>
      <w:r>
        <w:t xml:space="preserve">occasional phone numbers, which we address in Section 10.</w:t>
      </w:r>
    </w:p>
    <w:bookmarkEnd w:id="35"/>
    <w:bookmarkEnd w:id="36"/>
    <w:bookmarkStart w:id="40" w:name="taxonomy-harmonization"/>
    <w:p>
      <w:pPr>
        <w:pStyle w:val="Heading2"/>
      </w:pPr>
      <w:r>
        <w:t xml:space="preserve">4. Taxonomy harmonization</w:t>
      </w:r>
    </w:p>
    <w:p>
      <w:pPr>
        <w:pStyle w:val="FirstParagraph"/>
      </w:pPr>
      <w:r>
        <w:t xml:space="preserve">The seven cities use 545 native categories (527 distinct labels), from Richmond's nine broad groups to</w:t>
      </w:r>
      <w:r>
        <w:t xml:space="preserve"> </w:t>
      </w:r>
      <w:r>
        <w:t xml:space="preserve">San Francisco's 149 service names. We map every native category into a shared 14-class civic ontology: Waste and Sanitation,</w:t>
      </w:r>
      <w:r>
        <w:t xml:space="preserve"> </w:t>
      </w:r>
      <w:r>
        <w:t xml:space="preserve">Streets and Sidewalks, Street Lighting, Traffic Signals and Signs, Trees and Vegetation, Graffiti and</w:t>
      </w:r>
      <w:r>
        <w:t xml:space="preserve"> </w:t>
      </w:r>
      <w:r>
        <w:t xml:space="preserve">Postings, Parking and Vehicles, Property and Housing Code, Water Sewer and Drainage, Homelessness, Animals and</w:t>
      </w:r>
      <w:r>
        <w:t xml:space="preserve"> </w:t>
      </w:r>
      <w:r>
        <w:t xml:space="preserve">Pests, Noise, Transit, and Parks and Recreation. Administrative and routing-only categories, such as San</w:t>
      </w:r>
      <w:r>
        <w:t xml:space="preserve"> </w:t>
      </w:r>
      <w:r>
        <w:t xml:space="preserve">Francisco's per-department "General Request" tags, form a fifteenth bucket that we exclude from the</w:t>
      </w:r>
      <w:r>
        <w:t xml:space="preserve"> </w:t>
      </w:r>
      <w:r>
        <w:t xml:space="preserve">classification task. The mapping is an ordered, first-match rule set applied to the native category string,</w:t>
      </w:r>
      <w:r>
        <w:t xml:space="preserve"> </w:t>
      </w:r>
      <w:r>
        <w:t xml:space="preserve">which keeps it transparent and auditable; it covers 80 to 95 percent of records per city as content classes.</w:t>
      </w:r>
      <w:r>
        <w:t xml:space="preserve"> </w:t>
      </w:r>
      <w:r>
        <w:t xml:space="preserve">The mapping file is released, and its boundaries are exactly where the analysis of Section 7 locates</w:t>
      </w:r>
      <w:r>
        <w:t xml:space="preserve"> </w:t>
      </w:r>
      <w:r>
        <w:t xml:space="preserve">disagreement. Figure 2 shows these boundaries empirically: the heaviest cross-city confusion concentrates on a</w:t>
      </w:r>
      <w:r>
        <w:t xml:space="preserve"> </w:t>
      </w:r>
      <w:r>
        <w:t xml:space="preserve">few neighboring pairs, with Waste and Sanitation acting as a hub (its overlap with Parking, Homelessness,</w:t>
      </w:r>
      <w:r>
        <w:t xml:space="preserve"> </w:t>
      </w:r>
      <w:r>
        <w:t xml:space="preserve">Trees, and Property reflects debris, encampment cleanups, yard waste, and property nuisance all bordering it).</w:t>
      </w:r>
    </w:p>
    <w:p>
      <w:pPr>
        <w:pStyle w:val="CaptionedFigure"/>
      </w:pPr>
      <w:r>
        <w:drawing>
          <wp:inline>
            <wp:extent cx="5334000" cy="5169030"/>
            <wp:effectExtent b="0" l="0" r="0" t="0"/>
            <wp:docPr descr="Taxonomy boundary confusion graph" title="" id="38" name="Picture"/>
            <a:graphic>
              <a:graphicData uri="http://schemas.openxmlformats.org/drawingml/2006/picture">
                <pic:pic>
                  <pic:nvPicPr>
                    <pic:cNvPr descr="fig_taxonomy_boundary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1690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b/>
          <w:bCs/>
        </w:rPr>
        <w:t xml:space="preserve">Figure 2.</w:t>
      </w:r>
      <w:r>
        <w:t xml:space="preserve"> </w:t>
      </w:r>
      <w:r>
        <w:t xml:space="preserve">The 14 classes with the top cross-city confusion pairs as edges</w:t>
      </w:r>
      <w:r>
        <w:t xml:space="preserve"> </w:t>
      </w:r>
      <w:r>
        <w:t xml:space="preserve">(edge width proportional to DistilBERT misclassification count). Confusion concentrates on semantically</w:t>
      </w:r>
      <w:r>
        <w:t xml:space="preserve"> </w:t>
      </w:r>
      <w:r>
        <w:t xml:space="preserve">adjacent boundaries rather than spreading uniformly.</w:t>
      </w:r>
    </w:p>
    <w:bookmarkEnd w:id="40"/>
    <w:bookmarkStart w:id="41" w:name="experimental-setup"/>
    <w:p>
      <w:pPr>
        <w:pStyle w:val="Heading2"/>
      </w:pPr>
      <w:r>
        <w:t xml:space="preserve">5. Experimental setup</w:t>
      </w:r>
    </w:p>
    <w:p>
      <w:pPr>
        <w:pStyle w:val="FirstParagraph"/>
      </w:pPr>
      <w:r>
        <w:rPr>
          <w:b/>
          <w:bCs/>
        </w:rPr>
        <w:t xml:space="preserve">Task.</w:t>
      </w:r>
      <w:r>
        <w:t xml:space="preserve"> </w:t>
      </w:r>
      <w:r>
        <w:t xml:space="preserve">Given the citizen free text, predict one of the 14 harmonized content classes.</w:t>
      </w:r>
    </w:p>
    <w:p>
      <w:pPr>
        <w:pStyle w:val="BodyText"/>
      </w:pPr>
      <w:r>
        <w:rPr>
          <w:b/>
          <w:bCs/>
        </w:rPr>
        <w:t xml:space="preserve">Frozen split.</w:t>
      </w:r>
      <w:r>
        <w:t xml:space="preserve"> </w:t>
      </w:r>
      <w:r>
        <w:t xml:space="preserve">For each city we hold out a fixed, seeded, stratified test set of up to 500</w:t>
      </w:r>
      <w:r>
        <w:t xml:space="preserve"> </w:t>
      </w:r>
      <w:r>
        <w:t xml:space="preserve">requests (3,502 total). Every model predicts on exactly these rows, so in-city and cross-city results, and</w:t>
      </w:r>
      <w:r>
        <w:t xml:space="preserve"> </w:t>
      </w:r>
      <w:r>
        <w:t xml:space="preserve">all three arms, are one comparison rather than three. Training pools are capped at 8,000 to 12,000 requests</w:t>
      </w:r>
      <w:r>
        <w:t xml:space="preserve"> </w:t>
      </w:r>
      <w:r>
        <w:t xml:space="preserve">per city.</w:t>
      </w:r>
    </w:p>
    <w:p>
      <w:pPr>
        <w:pStyle w:val="BodyText"/>
      </w:pPr>
      <w:r>
        <w:rPr>
          <w:b/>
          <w:bCs/>
        </w:rPr>
        <w:t xml:space="preserve">Protocols.</w:t>
      </w:r>
      <w:r>
        <w:t xml:space="preserve"> </w:t>
      </w:r>
      <w:r>
        <w:rPr>
          <w:i/>
          <w:iCs/>
        </w:rPr>
        <w:t xml:space="preserve">In-city</w:t>
      </w:r>
      <w:r>
        <w:t xml:space="preserve"> </w:t>
      </w:r>
      <w:r>
        <w:t xml:space="preserve">trains on the held-out city's remaining data.</w:t>
      </w:r>
      <w:r>
        <w:t xml:space="preserve"> </w:t>
      </w:r>
      <w:r>
        <w:rPr>
          <w:i/>
          <w:iCs/>
        </w:rPr>
        <w:t xml:space="preserve">Leave-one-city-out</w:t>
      </w:r>
      <w:r>
        <w:rPr>
          <w:i/>
          <w:iCs/>
        </w:rPr>
        <w:t xml:space="preserve"> </w:t>
      </w:r>
      <w:r>
        <w:rPr>
          <w:i/>
          <w:iCs/>
        </w:rPr>
        <w:t xml:space="preserve">(LOCO)</w:t>
      </w:r>
      <w:r>
        <w:t xml:space="preserve"> </w:t>
      </w:r>
      <w:r>
        <w:t xml:space="preserve">trains on all other cities. Both are evaluated on the same frozen test rows.</w:t>
      </w:r>
    </w:p>
    <w:p>
      <w:pPr>
        <w:pStyle w:val="BodyText"/>
      </w:pPr>
      <w:r>
        <w:rPr>
          <w:b/>
          <w:bCs/>
        </w:rPr>
        <w:t xml:space="preserve">Metric.</w:t>
      </w:r>
      <w:r>
        <w:t xml:space="preserve"> </w:t>
      </w:r>
      <w:r>
        <w:t xml:space="preserve">Macro-F1 over the union of the gold and predicted labels in the pooled test set,</w:t>
      </w:r>
      <w:r>
        <w:t xml:space="preserve"> </w:t>
      </w:r>
      <w:r>
        <w:t xml:space="preserve">with 95% confidence intervals from 1,000 bootstrap resamples of the test examples. Averaging over the union</w:t>
      </w:r>
      <w:r>
        <w:t xml:space="preserve"> </w:t>
      </w:r>
      <w:r>
        <w:t xml:space="preserve">rather than the gold classes alone charges a model for predicting a label no request carries, which slightly</w:t>
      </w:r>
      <w:r>
        <w:t xml:space="preserve"> </w:t>
      </w:r>
      <w:r>
        <w:t xml:space="preserve">lowers the LLM's score (a handful of unparsed predictions add a zero-F1 class); we keep the union convention as</w:t>
      </w:r>
      <w:r>
        <w:t xml:space="preserve"> </w:t>
      </w:r>
      <w:r>
        <w:t xml:space="preserve">the conservative choice. Pooled macro-F1 concatenates all cities' test</w:t>
      </w:r>
      <w:r>
        <w:t xml:space="preserve"> </w:t>
      </w:r>
      <w:r>
        <w:t xml:space="preserve">rows and computes macro-F1 once over that union; the unweighted mean averages per-city macro-F1,</w:t>
      </w:r>
      <w:r>
        <w:t xml:space="preserve"> </w:t>
      </w:r>
      <w:r>
        <w:t xml:space="preserve">weighting each city equally. Because per-city class sets differ, we report the pooled metric as primary and</w:t>
      </w:r>
      <w:r>
        <w:t xml:space="preserve"> </w:t>
      </w:r>
      <w:r>
        <w:t xml:space="preserve">the unweighted mean as secondary, each also with San Francisco excluded (Section 9). Model differences use a</w:t>
      </w:r>
      <w:r>
        <w:t xml:space="preserve"> </w:t>
      </w:r>
      <w:r>
        <w:t xml:space="preserve">paired bootstrap (1,000 resamples over the shared test rows). Trained-model scores are stable across three</w:t>
      </w:r>
      <w:r>
        <w:t xml:space="preserve"> </w:t>
      </w:r>
      <w:r>
        <w:t xml:space="preserve">random seeds (DistilBERT in-city 0.824 ± 0.003, cross-city 0.553 ± 0.004).</w:t>
      </w:r>
    </w:p>
    <w:p>
      <w:pPr>
        <w:pStyle w:val="BodyText"/>
      </w:pPr>
      <w:r>
        <w:rPr>
          <w:b/>
          <w:bCs/>
        </w:rPr>
        <w:t xml:space="preserve">Models.</w:t>
      </w:r>
      <w:r>
        <w:t xml:space="preserve"> </w:t>
      </w:r>
      <w:r>
        <w:t xml:space="preserve">(i) TF-IDF over word 1-2-grams and character 3-5-grams with a logistic-regression</w:t>
      </w:r>
      <w:r>
        <w:t xml:space="preserve"> </w:t>
      </w:r>
      <w:r>
        <w:t xml:space="preserve">head. (ii) DistilBERT fine-tuned for three epochs. (iii) gpt-4o-mini (temperature 0) prompted zero-shot with the 14-class</w:t>
      </w:r>
      <w:r>
        <w:t xml:space="preserve"> </w:t>
      </w:r>
      <w:r>
        <w:t xml:space="preserve">taxonomy and short glosses, seeing no city-specific training data, which makes it an inherently</w:t>
      </w:r>
      <w:r>
        <w:t xml:space="preserve"> </w:t>
      </w:r>
      <w:r>
        <w:t xml:space="preserve">cross-jurisdiction condition. As LLM ablations we also report gpt-4o (a stronger model) and a few-shot variant</w:t>
      </w:r>
      <w:r>
        <w:t xml:space="preserve"> </w:t>
      </w:r>
      <w:r>
        <w:t xml:space="preserve">that adds one labeled exemplar per class drawn from the training cities. LLM inference runs through the</w:t>
      </w:r>
      <w:r>
        <w:t xml:space="preserve"> </w:t>
      </w:r>
      <w:r>
        <w:t xml:space="preserve">provider batch APIs at half the standard token price. As additional baselines we report (iv) a fine-tuned</w:t>
      </w:r>
      <w:r>
        <w:t xml:space="preserve"> </w:t>
      </w:r>
      <w:r>
        <w:t xml:space="preserve">RoBERTa-base encoder, and two zero-shot label-semantic methods that use the class descriptions but no training:</w:t>
      </w:r>
      <w:r>
        <w:t xml:space="preserve"> </w:t>
      </w:r>
      <w:r>
        <w:t xml:space="preserve">a sentence-transformer that assigns the nearest class-description embedding, and an NLI entailment classifier.</w:t>
      </w:r>
      <w:r>
        <w:t xml:space="preserve"> </w:t>
      </w:r>
      <w:r>
        <w:t xml:space="preserve">Hyperparameters and the verbatim prompt are released with the code.</w:t>
      </w:r>
    </w:p>
    <w:bookmarkEnd w:id="41"/>
    <w:bookmarkStart w:id="52" w:name="results"/>
    <w:p>
      <w:pPr>
        <w:pStyle w:val="Heading2"/>
      </w:pPr>
      <w:r>
        <w:t xml:space="preserve">6. Results</w:t>
      </w:r>
    </w:p>
    <w:p>
      <w:pPr>
        <w:pStyle w:val="CaptionedFigure"/>
      </w:pPr>
      <w:r>
        <w:drawing>
          <wp:inline>
            <wp:extent cx="5334000" cy="3269225"/>
            <wp:effectExtent b="0" l="0" r="0" t="0"/>
            <wp:docPr descr="In-city vs cross-city macro-F1 by model" title="" id="43" name="Picture"/>
            <a:graphic>
              <a:graphicData uri="http://schemas.openxmlformats.org/drawingml/2006/picture">
                <pic:pic>
                  <pic:nvPicPr>
                    <pic:cNvPr descr="fig_transfer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69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b/>
          <w:bCs/>
        </w:rPr>
        <w:t xml:space="preserve">Figure 3.</w:t>
      </w:r>
      <w:r>
        <w:t xml:space="preserve"> </w:t>
      </w:r>
      <w:r>
        <w:t xml:space="preserve">Pooled macro-F1 with 95% bootstrap CIs. Both trained models lose</w:t>
      </w:r>
      <w:r>
        <w:t xml:space="preserve"> </w:t>
      </w:r>
      <w:r>
        <w:t xml:space="preserve">roughly a third of their macro-F1 when moving to an unseen city. The zero-shot LLM, which trains on no city,</w:t>
      </w:r>
      <w:r>
        <w:t xml:space="preserve"> </w:t>
      </w:r>
      <w:r>
        <w:t xml:space="preserve">transfers best across cities.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Model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In-city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Cross-city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In-city (no SF)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Cross-city (no SF)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TF-IDF + logistic regression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0.784 [.76,.81]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0.523 [.50,.54]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0.483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DistilBERT (fine-tuned)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0.826 [.80,.85]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0.557 [.54,.58]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0.541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LLM zero-shot, gpt-4o-mini (taxonomy in prompt)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0.655 [.63,.68]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0.622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LLM zero-shot, gpt-4o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0.704 [.68,.73]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0.669</w:t>
            </w:r>
          </w:p>
        </w:tc>
      </w:tr>
    </w:tbl>
    <w:p>
      <w:pPr>
        <w:pStyle w:val="BodyText"/>
      </w:pPr>
      <w:r>
        <w:t xml:space="preserve">Table 2. Pooled macro-F1 [95% CI] on the frozen test set. Cross-city refers to LOCO for the</w:t>
      </w:r>
      <w:r>
        <w:t xml:space="preserve"> </w:t>
      </w:r>
      <w:r>
        <w:t xml:space="preserve">trained models and to zero-shot for the LLM. Unweighted city means are lower (for example DistilBERT LOCO</w:t>
      </w:r>
      <w:r>
        <w:t xml:space="preserve"> </w:t>
      </w:r>
      <w:r>
        <w:t xml:space="preserve">0.447): a city with few classes contributes to few of the pooled per-class F1 terms, whereas the unweighted</w:t>
      </w:r>
      <w:r>
        <w:t xml:space="preserve"> </w:t>
      </w:r>
      <w:r>
        <w:t xml:space="preserve">mean weights every city equally. Both aggregations are released.</w:t>
      </w:r>
    </w:p>
    <w:p>
      <w:pPr>
        <w:pStyle w:val="BodyText"/>
      </w:pPr>
      <w:r>
        <w:t xml:space="preserve">Two results are stable across models. Crossing city boundaries costs roughly a third of macro-F1, from 0.826</w:t>
      </w:r>
      <w:r>
        <w:t xml:space="preserve"> </w:t>
      </w:r>
      <w:r>
        <w:t xml:space="preserve">to 0.557 for DistilBERT and from 0.784 to 0.523 for TF-IDF (Figure 3), and in-city exceeds cross-city for</w:t>
      </w:r>
      <w:r>
        <w:t xml:space="preserve"> </w:t>
      </w:r>
      <w:r>
        <w:t xml:space="preserve">every held-out city for DistilBERT and for six of the seven for TF-IDF (Bloomington is a near-tie, 0.443</w:t>
      </w:r>
      <w:r>
        <w:t xml:space="preserve"> </w:t>
      </w:r>
      <w:r>
        <w:t xml:space="preserve">in-city versus 0.449 cross-city, within the bootstrap noise). The cross-city ordering, LLM zero-shot (0.655)</w:t>
      </w:r>
      <w:r>
        <w:t xml:space="preserve"> </w:t>
      </w:r>
      <w:r>
        <w:t xml:space="preserve">above DistilBERT (0.557) above TF-IDF (0.523), is significant: paired bootstrap over the shared test examples</w:t>
      </w:r>
      <w:r>
        <w:t xml:space="preserve"> </w:t>
      </w:r>
      <w:r>
        <w:t xml:space="preserve">gives a mean difference of +0.098 for LLM over DistilBERT and +0.130 for LLM over TF-IDF, both with 95%</w:t>
      </w:r>
      <w:r>
        <w:t xml:space="preserve"> </w:t>
      </w:r>
      <w:r>
        <w:t xml:space="preserve">intervals excluding zero. This significance is at the request level; the ordering is heterogeneous across the</w:t>
      </w:r>
      <w:r>
        <w:t xml:space="preserve"> </w:t>
      </w:r>
      <w:r>
        <w:t xml:space="preserve">seven cities (the LLM leads DistilBERT in five of seven, trailing in Richmond and Auburn), and with only seven</w:t>
      </w:r>
      <w:r>
        <w:t xml:space="preserve"> </w:t>
      </w:r>
      <w:r>
        <w:t xml:space="preserve">jurisdictions we do not claim the ranking generalizes to all municipalities. A preliminary same-platform probe</w:t>
      </w:r>
      <w:r>
        <w:t xml:space="preserve"> </w:t>
      </w:r>
      <w:r>
        <w:t xml:space="preserve">is inconclusive: Auburn-to-Richmond single-source transfer (0.585, Figure 5) exceeds Richmond's leave-one-city-out score (0.477) while</w:t>
      </w:r>
      <w:r>
        <w:t xml:space="preserve"> </w:t>
      </w:r>
      <w:r>
        <w:t xml:space="preserve">Richmond-to-Auburn (0.338) falls below Auburn's (0.434), so shared platform does not uniformly explain the gap</w:t>
      </w:r>
      <w:r>
        <w:t xml:space="preserve"> </w:t>
      </w:r>
      <w:r>
        <w:t xml:space="preserve">(single-source versus multi-source training confounds this cell; the full 7×7 single-source matrix is</w:t>
      </w:r>
      <w:r>
        <w:t xml:space="preserve"> </w:t>
      </w:r>
      <w:r>
        <w:t xml:space="preserve">Figure 5, analyzed in Section 7).</w:t>
      </w:r>
      <w:r>
        <w:t xml:space="preserve"> </w:t>
      </w:r>
      <w:r>
        <w:t xml:space="preserve">Giving a model the target label space in context helps where a fixed label space does not, without closing the</w:t>
      </w:r>
      <w:r>
        <w:t xml:space="preserve"> </w:t>
      </w:r>
      <w:r>
        <w:t xml:space="preserve">gap; Section 7 tests this reading directly.</w:t>
      </w:r>
    </w:p>
    <w:p>
      <w:pPr>
        <w:pStyle w:val="BodyText"/>
      </w:pPr>
      <w:r>
        <w:t xml:space="preserve">To ask what drives the LLM's cross-jurisdiction advantage, we vary the model and the prompt. A stronger</w:t>
      </w:r>
      <w:r>
        <w:t xml:space="preserve"> </w:t>
      </w:r>
      <w:r>
        <w:t xml:space="preserve">model widens it: gpt-4o reaches 0.704, significantly above gpt-4o-mini (0.655; paired bootstrap P&gt;0.99).</w:t>
      </w:r>
      <w:r>
        <w:t xml:space="preserve"> </w:t>
      </w:r>
      <w:r>
        <w:t xml:space="preserve">Clean in-context demonstrations add a modest further gain: one representative labeled exemplar per class drawn</w:t>
      </w:r>
      <w:r>
        <w:t xml:space="preserve"> </w:t>
      </w:r>
      <w:r>
        <w:t xml:space="preserve">from the training cities raises the cross-city score to 0.673 (bootstrap mean +0.025 over zero-shot, 95% CI</w:t>
      </w:r>
      <w:r>
        <w:t xml:space="preserve"> </w:t>
      </w:r>
      <w:r>
        <w:t xml:space="preserve">[+0.001, +0.075]). The larger prompt lever is the label space itself: stripping the glosses to class names alone</w:t>
      </w:r>
      <w:r>
        <w:t xml:space="preserve"> </w:t>
      </w:r>
      <w:r>
        <w:t xml:space="preserve">lifts the score to 0.700, near gpt-4o, so most of the signal is carried by the class names rather than their</w:t>
      </w:r>
      <w:r>
        <w:t xml:space="preserve"> </w:t>
      </w:r>
      <w:r>
        <w:t xml:space="preserve">descriptions or the demonstrations. The advantage therefore comes chiefly from the target-label</w:t>
      </w:r>
      <w:r>
        <w:t xml:space="preserve"> </w:t>
      </w:r>
      <w:r>
        <w:t xml:space="preserve">semantics that the taxonomy places in the prompt, largely captured by the class names, with smaller additive</w:t>
      </w:r>
      <w:r>
        <w:t xml:space="preserve"> </w:t>
      </w:r>
      <w:r>
        <w:t xml:space="preserve">contributions from clean demonstrations and from model scale (gpt-4o). As a pipeline check, running gpt-4o-mini</w:t>
      </w:r>
      <w:r>
        <w:t xml:space="preserve"> </w:t>
      </w:r>
      <w:r>
        <w:t xml:space="preserve">through the batch API reproduces the synchronous result (0.644 versus 0.655, not significant).</w:t>
      </w:r>
    </w:p>
    <w:p>
      <w:pPr>
        <w:pStyle w:val="BodyText"/>
      </w:pPr>
      <w:r>
        <w:t xml:space="preserve">We also widen the model families. A stronger encoder does not help transfer: fine-tuned RoBERTa reaches</w:t>
      </w:r>
      <w:r>
        <w:t xml:space="preserve"> </w:t>
      </w:r>
      <w:r>
        <w:t xml:space="preserve">0.839 in-city, above DistilBERT, but only 0.519 across cities, so the gap is not a weakness of the DistilBERT</w:t>
      </w:r>
      <w:r>
        <w:t xml:space="preserve"> </w:t>
      </w:r>
      <w:r>
        <w:t xml:space="preserve">baseline. Two zero-shot label-semantic methods that receive the class descriptions but no strong reasoning, a</w:t>
      </w:r>
      <w:r>
        <w:t xml:space="preserve"> </w:t>
      </w:r>
      <w:r>
        <w:t xml:space="preserve">sentence-transformer that matches each request to the nearest class-description embedding (0.510) and an NLI</w:t>
      </w:r>
      <w:r>
        <w:t xml:space="preserve"> </w:t>
      </w:r>
      <w:r>
        <w:t xml:space="preserve">entailment classifier (0.478), land at or below the classical TF-IDF baseline and far below the LLM. Access to</w:t>
      </w:r>
      <w:r>
        <w:t xml:space="preserve"> </w:t>
      </w:r>
      <w:r>
        <w:t xml:space="preserve">label semantics is therefore necessary but not sufficient: the zero-shot LLM's advantage combines the label</w:t>
      </w:r>
      <w:r>
        <w:t xml:space="preserve"> </w:t>
      </w:r>
      <w:r>
        <w:t xml:space="preserve">semantics in its prompt with its own capability, and neither a stronger encoder nor a simple label-matching</w:t>
      </w:r>
      <w:r>
        <w:t xml:space="preserve"> </w:t>
      </w:r>
      <w:r>
        <w:t xml:space="preserve">model reproduces it.</w:t>
      </w:r>
    </w:p>
    <w:p>
      <w:pPr>
        <w:pStyle w:val="BodyText"/>
      </w:pPr>
      <w:r>
        <w:t xml:space="preserve">Decomposing the cross-city macro-F1 by class shows where the advantage lives. On the head classes the LLM</w:t>
      </w:r>
      <w:r>
        <w:t xml:space="preserve"> </w:t>
      </w:r>
      <w:r>
        <w:t xml:space="preserve">and the trained model are close: Waste and Sanitation (1,305 test requests) 0.853 for the LLM versus 0.825 for</w:t>
      </w:r>
      <w:r>
        <w:t xml:space="preserve"> </w:t>
      </w:r>
      <w:r>
        <w:t xml:space="preserve">DistilBERT across cities, Graffiti 0.927 versus 0.914, Street Lighting 0.881 versus 0.868. The separation is</w:t>
      </w:r>
      <w:r>
        <w:t xml:space="preserve"> </w:t>
      </w:r>
      <w:r>
        <w:t xml:space="preserve">concentrated in rare, city-idiosyncratic classes on which the leave-one-city-out DistilBERT collapses to zero:</w:t>
      </w:r>
      <w:r>
        <w:t xml:space="preserve"> </w:t>
      </w:r>
      <w:r>
        <w:t xml:space="preserve">Noise (12) 0.000 to 0.759, Transit (21) 0.000 to 0.500, Homelessness (176) 0.380 to 0.830, Parking (224) 0.636</w:t>
      </w:r>
      <w:r>
        <w:t xml:space="preserve"> </w:t>
      </w:r>
      <w:r>
        <w:t xml:space="preserve">to 0.773. A model trained on the other cities cannot represent a class that is thin or absent in its source</w:t>
      </w:r>
      <w:r>
        <w:t xml:space="preserve"> </w:t>
      </w:r>
      <w:r>
        <w:t xml:space="preserve">pool, whereas the class name in the prompt lets the LLM recognize it directly. The cross-jurisdiction ranking is</w:t>
      </w:r>
      <w:r>
        <w:t xml:space="preserve"> </w:t>
      </w:r>
      <w:r>
        <w:t xml:space="preserve">therefore a tail-class phenomenon, not a uniform margin.</w:t>
      </w:r>
    </w:p>
    <w:bookmarkStart w:id="51" w:name="robustness"/>
    <w:p>
      <w:pPr>
        <w:pStyle w:val="Heading3"/>
      </w:pPr>
      <w:r>
        <w:t xml:space="preserve">Robustness</w:t>
      </w:r>
    </w:p>
    <w:p>
      <w:pPr>
        <w:pStyle w:val="FirstParagraph"/>
      </w:pPr>
      <w:r>
        <w:t xml:space="preserve">Three checks indicate the gap is genuine domain shift rather than an artifact of the split or the taxonomy.</w:t>
      </w:r>
      <w:r>
        <w:t xml:space="preserve"> </w:t>
      </w:r>
      <w:r>
        <w:rPr>
          <w:i/>
          <w:iCs/>
        </w:rPr>
        <w:t xml:space="preserve">Deduplication:</w:t>
      </w:r>
      <w:r>
        <w:t xml:space="preserve"> </w:t>
      </w:r>
      <w:r>
        <w:t xml:space="preserve">18,265 training rows shared their exact text with a test request in the same city;</w:t>
      </w:r>
      <w:r>
        <w:t xml:space="preserve"> </w:t>
      </w:r>
      <w:r>
        <w:t xml:space="preserve">removing them, together with corpus-wide exact duplicates, barely changes the picture (DistilBERT in-city</w:t>
      </w:r>
      <w:r>
        <w:t xml:space="preserve"> </w:t>
      </w:r>
      <w:r>
        <w:t xml:space="preserve">0.818, cross-city 0.539), so the roughly one-third drop is not produced by train-test overlap.</w:t>
      </w:r>
      <w:r>
        <w:t xml:space="preserve"> </w:t>
      </w:r>
      <w:r>
        <w:rPr>
          <w:i/>
          <w:iCs/>
        </w:rPr>
        <w:t xml:space="preserve">Taxonomy</w:t>
      </w:r>
      <w:r>
        <w:rPr>
          <w:i/>
          <w:iCs/>
        </w:rPr>
        <w:t xml:space="preserve"> </w:t>
      </w:r>
      <w:r>
        <w:rPr>
          <w:i/>
          <w:iCs/>
        </w:rPr>
        <w:t xml:space="preserve">coarsening:</w:t>
      </w:r>
      <w:r>
        <w:t xml:space="preserve"> </w:t>
      </w:r>
      <w:r>
        <w:t xml:space="preserve">merging the confusable neighboring classes into an eight-class ontology recovers four to seven</w:t>
      </w:r>
      <w:r>
        <w:t xml:space="preserve"> </w:t>
      </w:r>
      <w:r>
        <w:t xml:space="preserve">macro-F1 points for the trained models (TF-IDF cross-city 0.523 to 0.590, DistilBERT 0.557 to 0.601), which</w:t>
      </w:r>
      <w:r>
        <w:t xml:space="preserve"> </w:t>
      </w:r>
      <w:r>
        <w:t xml:space="preserve">quantifies the taxonomy-boundary share of the difficulty, yet the gap to in-city persists.</w:t>
      </w:r>
      <w:r>
        <w:t xml:space="preserve"> </w:t>
      </w:r>
      <w:r>
        <w:rPr>
          <w:i/>
          <w:iCs/>
        </w:rPr>
        <w:t xml:space="preserve">Temporal split:</w:t>
      </w:r>
      <w:r>
        <w:t xml:space="preserve"> </w:t>
      </w:r>
      <w:r>
        <w:t xml:space="preserve">for all seven cities, pulling each city's records ordered by its native creation timestamp, training on the</w:t>
      </w:r>
      <w:r>
        <w:t xml:space="preserve"> </w:t>
      </w:r>
      <w:r>
        <w:t xml:space="preserve">earliest 80% of requests and testing on the latest 20% lowers in-city macro-F1 by 0.051 on average (0.740</w:t>
      </w:r>
      <w:r>
        <w:t xml:space="preserve"> </w:t>
      </w:r>
      <w:r>
        <w:t xml:space="preserve">versus 0.791 for a random split on the same rows), with the largest single-city drop 0.12 (Honolulu). This</w:t>
      </w:r>
      <w:r>
        <w:t xml:space="preserve"> </w:t>
      </w:r>
      <w:r>
        <w:t xml:space="preserve">temporal degradation is real but roughly five times smaller than the cross-jurisdiction gap, so the transfer</w:t>
      </w:r>
      <w:r>
        <w:t xml:space="preserve"> </w:t>
      </w:r>
      <w:r>
        <w:t xml:space="preserve">gap is not an artifact of random splitting.</w:t>
      </w:r>
      <w:r>
        <w:t xml:space="preserve"> </w:t>
      </w:r>
      <w:r>
        <w:rPr>
          <w:i/>
          <w:iCs/>
        </w:rPr>
        <w:t xml:space="preserve">Model family and input length:</w:t>
      </w:r>
      <w:r>
        <w:t xml:space="preserve"> </w:t>
      </w:r>
      <w:r>
        <w:t xml:space="preserve">a stronger encoder and simple label-semantic classifiers,</w:t>
      </w:r>
      <w:r>
        <w:t xml:space="preserve"> </w:t>
      </w:r>
      <w:r>
        <w:t xml:space="preserve">above, do not close the gap either, and doubling the encoder's input to 128 tokens does not help (cross-city</w:t>
      </w:r>
      <w:r>
        <w:t xml:space="preserve"> </w:t>
      </w:r>
      <w:r>
        <w:t xml:space="preserve">0.537 versus 0.557). The gap is not specific to one architecture, split, taxonomy granularity, or sequence</w:t>
      </w:r>
      <w:r>
        <w:t xml:space="preserve"> </w:t>
      </w:r>
      <w:r>
        <w:t xml:space="preserve">length.</w:t>
      </w:r>
    </w:p>
    <w:p>
      <w:pPr>
        <w:pStyle w:val="BodyText"/>
      </w:pPr>
      <w:r>
        <w:t xml:space="preserve">Performance varies sharply across held-out cities (Figure 4), from the degenerate San Francisco split</w:t>
      </w:r>
      <w:r>
        <w:t xml:space="preserve"> </w:t>
      </w:r>
      <w:r>
        <w:t xml:space="preserve">(two content classes) to the mid-0.6s on more balanced cities, which is why we report San-Francisco-excluded</w:t>
      </w:r>
      <w:r>
        <w:t xml:space="preserve"> </w:t>
      </w:r>
      <w:r>
        <w:t xml:space="preserve">aggregates alongside the full ones.</w:t>
      </w:r>
    </w:p>
    <w:p>
      <w:pPr>
        <w:pStyle w:val="CaptionedFigure"/>
      </w:pPr>
      <w:r>
        <w:drawing>
          <wp:inline>
            <wp:extent cx="5334000" cy="2895600"/>
            <wp:effectExtent b="0" l="0" r="0" t="0"/>
            <wp:docPr descr="Per-city cross-city macro-F1 by model" title="" id="46" name="Picture"/>
            <a:graphic>
              <a:graphicData uri="http://schemas.openxmlformats.org/drawingml/2006/picture">
                <pic:pic>
                  <pic:nvPicPr>
                    <pic:cNvPr descr="fig_percity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b/>
          <w:bCs/>
        </w:rPr>
        <w:t xml:space="preserve">Figure 4.</w:t>
      </w:r>
      <w:r>
        <w:t xml:space="preserve"> </w:t>
      </w:r>
      <w:r>
        <w:t xml:space="preserve">Per-held-out-city cross-city macro-F1. Performance varies widely by</w:t>
      </w:r>
      <w:r>
        <w:t xml:space="preserve"> </w:t>
      </w:r>
      <w:r>
        <w:t xml:space="preserve">city, and San Francisco (two content classes only) is degenerate; we handle it explicitly in Section 9.</w:t>
      </w:r>
    </w:p>
    <w:p>
      <w:pPr>
        <w:pStyle w:val="CaptionedFigure"/>
      </w:pPr>
      <w:r>
        <w:drawing>
          <wp:inline>
            <wp:extent cx="5334000" cy="4525818"/>
            <wp:effectExtent b="0" l="0" r="0" t="0"/>
            <wp:docPr descr="City-to-city transfer matrix" title="" id="49" name="Picture"/>
            <a:graphic>
              <a:graphicData uri="http://schemas.openxmlformats.org/drawingml/2006/picture">
                <pic:pic>
                  <pic:nvPicPr>
                    <pic:cNvPr descr="fig_transfer_matrix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258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b/>
          <w:bCs/>
        </w:rPr>
        <w:t xml:space="preserve">Figure 5.</w:t>
      </w:r>
      <w:r>
        <w:t xml:space="preserve"> </w:t>
      </w:r>
      <w:r>
        <w:t xml:space="preserve">Full 7×7 city-to-city TF-IDF transfer (train on the row city,</w:t>
      </w:r>
      <w:r>
        <w:t xml:space="preserve"> </w:t>
      </w:r>
      <w:r>
        <w:t xml:space="preserve">test on the column city). Single-source cross-city transfer averages 0.247 macro-F1, far below the</w:t>
      </w:r>
      <w:r>
        <w:t xml:space="preserve"> </w:t>
      </w:r>
      <w:r>
        <w:t xml:space="preserve">multi-source leave-one-city-out result, and the SeeClickFix pair transfers asymmetrically.</w:t>
      </w:r>
    </w:p>
    <w:p>
      <w:pPr>
        <w:pStyle w:val="BodyText"/>
      </w:pPr>
      <w:r>
        <w:t xml:space="preserve">The full city-to-city matrix (Figure 5) makes the multi-source benefit concrete: training on a single</w:t>
      </w:r>
      <w:r>
        <w:t xml:space="preserve"> </w:t>
      </w:r>
      <w:r>
        <w:t xml:space="preserve">other city and testing on a target averages 0.247 macro-F1, less than half the leave-one-city-out result</w:t>
      </w:r>
      <w:r>
        <w:t xml:space="preserve"> </w:t>
      </w:r>
      <w:r>
        <w:t xml:space="preserve">(0.523 for TF-IDF), so pooling several source cities is worth far more than any single source. The structure</w:t>
      </w:r>
      <w:r>
        <w:t xml:space="preserve"> </w:t>
      </w:r>
      <w:r>
        <w:t xml:space="preserve">is not explained by shared platform alone; the two SeeClickFix cities transfer asymmetrically (Auburn to</w:t>
      </w:r>
      <w:r>
        <w:t xml:space="preserve"> </w:t>
      </w:r>
      <w:r>
        <w:t xml:space="preserve">Richmond 0.58, Richmond to Auburn 0.34), consistent with the inconclusive same-platform probe above.</w:t>
      </w:r>
    </w:p>
    <w:p>
      <w:pPr>
        <w:pStyle w:val="BodyText"/>
      </w:pPr>
      <w:r>
        <w:t xml:space="preserve">Transfer difficulty is partly predictable from how far apart two cities' corpora are. Across the 30 city</w:t>
      </w:r>
      <w:r>
        <w:t xml:space="preserve"> </w:t>
      </w:r>
      <w:r>
        <w:t xml:space="preserve">pairs that exclude the degenerate San Francisco cell (whose single-source transfer is uniformly near zero),</w:t>
      </w:r>
      <w:r>
        <w:t xml:space="preserve"> </w:t>
      </w:r>
      <w:r>
        <w:t xml:space="preserve">single-source transfer correlates negatively with vocabulary divergence between the two cities</w:t>
      </w:r>
      <w:r>
        <w:t xml:space="preserve"> </w:t>
      </w:r>
      <w:r>
        <w:t xml:space="preserve">(Spearman ρ = −0.54, p = 0.002); the class-distribution and text-length distances and the shared-platform</w:t>
      </w:r>
      <w:r>
        <w:t xml:space="preserve"> </w:t>
      </w:r>
      <w:r>
        <w:t xml:space="preserve">indicator are not significant, and with a single same-platform pair the platform test is underpowered. Including</w:t>
      </w:r>
      <w:r>
        <w:t xml:space="preserve"> </w:t>
      </w:r>
      <w:r>
        <w:t xml:space="preserve">San Francisco inflates the vocabulary correlation to ρ = −0.83, so we report the San Francisco-excluded</w:t>
      </w:r>
      <w:r>
        <w:t xml:space="preserve"> </w:t>
      </w:r>
      <w:r>
        <w:t xml:space="preserve">value. Cross-jurisdiction degradation therefore tracks lexical shift between cities, which a shared taxonomy</w:t>
      </w:r>
      <w:r>
        <w:t xml:space="preserve"> </w:t>
      </w:r>
      <w:r>
        <w:t xml:space="preserve">alone cannot remove.</w:t>
      </w:r>
    </w:p>
    <w:bookmarkEnd w:id="51"/>
    <w:bookmarkEnd w:id="52"/>
    <w:bookmarkStart w:id="61" w:name="what-the-gap-measures"/>
    <w:p>
      <w:pPr>
        <w:pStyle w:val="Heading2"/>
      </w:pPr>
      <w:r>
        <w:t xml:space="preserve">7. What the gap measures</w:t>
      </w:r>
    </w:p>
    <w:p>
      <w:pPr>
        <w:pStyle w:val="FirstParagraph"/>
      </w:pPr>
      <w:r>
        <w:t xml:space="preserve">A large drop is a strong claim, so we ask how much of the gap is genuine model failure. An independent LLM</w:t>
      </w:r>
      <w:r>
        <w:t xml:space="preserve"> </w:t>
      </w:r>
      <w:r>
        <w:t xml:space="preserve">judge (gpt-4o-mini) reads each test request and returns the set of categories that are reasonable for the</w:t>
      </w:r>
      <w:r>
        <w:t xml:space="preserve"> </w:t>
      </w:r>
      <w:r>
        <w:t xml:space="preserve">text, blind to the model prediction and to the city's own label. The judge assigns a single label to 67% of</w:t>
      </w:r>
      <w:r>
        <w:t xml:space="preserve"> </w:t>
      </w:r>
      <w:r>
        <w:t xml:space="preserve">requests and two or more to the rest (mean 1.37), which quantifies genuine ambiguity in the taxonomy. Because</w:t>
      </w:r>
      <w:r>
        <w:t xml:space="preserve"> </w:t>
      </w:r>
      <w:r>
        <w:t xml:space="preserve">the mean acceptable set spans only 1.37 of the 14 classes, a randomly chosen label is judge-accepted just 9.8%</w:t>
      </w:r>
      <w:r>
        <w:t xml:space="preserve"> </w:t>
      </w:r>
      <w:r>
        <w:t xml:space="preserve">of the time and a constant majority-class predictor reaches 0.414 defensibility-adjusted accuracy. The judge is</w:t>
      </w:r>
      <w:r>
        <w:t xml:space="preserve"> </w:t>
      </w:r>
      <w:r>
        <w:t xml:space="preserve">also graded rather than binary: the recorded label is accepted 85.8% of the time, but the nearest taxonomy</w:t>
      </w:r>
      <w:r>
        <w:t xml:space="preserve"> </w:t>
      </w:r>
      <w:r>
        <w:t xml:space="preserve">sibling of the gold class (the label most co-accepted with it) is accepted only 13.4%, above the random floor</w:t>
      </w:r>
      <w:r>
        <w:t xml:space="preserve"> </w:t>
      </w:r>
      <w:r>
        <w:t xml:space="preserve">yet far below the gold, so the judge discriminates precisely at the boundary rather than waving through</w:t>
      </w:r>
      <w:r>
        <w:t xml:space="preserve"> </w:t>
      </w:r>
      <w:r>
        <w:t xml:space="preserve">plausible neighbors. The lenient scores below are read against these floors.</w:t>
      </w:r>
    </w:p>
    <w:p>
      <w:pPr>
        <w:pStyle w:val="BodyText"/>
      </w:pPr>
      <w:r>
        <w:t xml:space="preserve">The judge also disagrees with the city's own label on 14.2% of requests (from 5.6% in San Francisco to 20%</w:t>
      </w:r>
      <w:r>
        <w:t xml:space="preserve"> </w:t>
      </w:r>
      <w:r>
        <w:t xml:space="preserve">in Richmond). This is a measured rate of city labels not entailed by the text, on the same population the gap</w:t>
      </w:r>
      <w:r>
        <w:t xml:space="preserve"> </w:t>
      </w:r>
      <w:r>
        <w:t xml:space="preserve">is computed on. It does not cap predictive accuracy, since a model can still exploit a city's administrative</w:t>
      </w:r>
      <w:r>
        <w:t xml:space="preserve"> </w:t>
      </w:r>
      <w:r>
        <w:t xml:space="preserve">conventions, location cues, or lexical shortcuts; rather, it shows that matching the city label is not a pure</w:t>
      </w:r>
      <w:r>
        <w:t xml:space="preserve"> </w:t>
      </w:r>
      <w:r>
        <w:t xml:space="preserve">measure of semantic classification ability.</w:t>
      </w:r>
    </w:p>
    <w:p>
      <w:pPr>
        <w:pStyle w:val="CaptionedFigure"/>
      </w:pPr>
      <w:r>
        <w:drawing>
          <wp:inline>
            <wp:extent cx="5334000" cy="3097161"/>
            <wp:effectExtent b="0" l="0" r="0" t="0"/>
            <wp:docPr descr="Strict vs lenient accuracy by model" title="" id="54" name="Picture"/>
            <a:graphic>
              <a:graphicData uri="http://schemas.openxmlformats.org/drawingml/2006/picture">
                <pic:pic>
                  <pic:nvPicPr>
                    <pic:cNvPr descr="fig_defensibility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971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b/>
          <w:bCs/>
        </w:rPr>
        <w:t xml:space="preserve">Figure 6.</w:t>
      </w:r>
      <w:r>
        <w:t xml:space="preserve"> </w:t>
      </w:r>
      <w:r>
        <w:t xml:space="preserve">Strict accuracy (prediction equals the city label) versus</w:t>
      </w:r>
      <w:r>
        <w:t xml:space="preserve"> </w:t>
      </w:r>
      <w:r>
        <w:t xml:space="preserve">defensibility-adjusted accuracy (prediction is judge-acceptable). A large share of cross-city "errors" are</w:t>
      </w:r>
      <w:r>
        <w:t xml:space="preserve"> </w:t>
      </w:r>
      <w:r>
        <w:t xml:space="preserve">judged defensible, nearly all for the LLM under the same-family judge.</w:t>
      </w:r>
    </w:p>
    <w:p>
      <w:pPr>
        <w:pStyle w:val="BodyText"/>
      </w:pPr>
      <w:r>
        <w:t xml:space="preserve">The acceptable-set judgment is defined per example, so this analysis uses accuracy rather than macro-F1.</w:t>
      </w:r>
      <w:r>
        <w:t xml:space="preserve"> </w:t>
      </w:r>
      <w:r>
        <w:t xml:space="preserve">Under a defensibility-adjusted metric that counts a prediction correct when it matches the city label or any</w:t>
      </w:r>
      <w:r>
        <w:t xml:space="preserve"> </w:t>
      </w:r>
      <w:r>
        <w:t xml:space="preserve">judge-acceptable label, cross-city accuracy rises for every model (Figure 6): the LLM from 0.797 to 0.981, DistilBERT</w:t>
      </w:r>
      <w:r>
        <w:t xml:space="preserve"> </w:t>
      </w:r>
      <w:r>
        <w:t xml:space="preserve">from 0.748 to 0.864, and TF-IDF from 0.688 to 0.816. This rescues about 91% of the zero-shot LLM's strict</w:t>
      </w:r>
      <w:r>
        <w:t xml:space="preserve"> </w:t>
      </w:r>
      <w:r>
        <w:t xml:space="preserve">disagreements, and about 46% and 41% of DistilBERT's and TF-IDF's. The correction is consequential, not</w:t>
      </w:r>
      <w:r>
        <w:t xml:space="preserve"> </w:t>
      </w:r>
      <w:r>
        <w:t xml:space="preserve">cosmetic: it erases a significant difference between the two strongest models. gpt-4o beats gpt-4o-mini on</w:t>
      </w:r>
      <w:r>
        <w:t xml:space="preserve"> </w:t>
      </w:r>
      <w:r>
        <w:t xml:space="preserve">strict accuracy by a clear margin (0.832 versus 0.798, paired bootstrap P&gt;0.99), but under the</w:t>
      </w:r>
      <w:r>
        <w:t xml:space="preserve"> </w:t>
      </w:r>
      <w:r>
        <w:t xml:space="preserve">defensibility-adjusted metric the two are statistically indistinguishable (0.981 versus 0.979, 95% CI on the</w:t>
      </w:r>
      <w:r>
        <w:t xml:space="preserve"> </w:t>
      </w:r>
      <w:r>
        <w:t xml:space="preserve">difference [−0.003, +0.007]). Whether the benchmark separates them at all depends on whether its labels</w:t>
      </w:r>
      <w:r>
        <w:t xml:space="preserve"> </w:t>
      </w:r>
      <w:r>
        <w:t xml:space="preserve">are read as ground truth or as one defensible answer among several. To test whether this reflects same-family</w:t>
      </w:r>
      <w:r>
        <w:t xml:space="preserve"> </w:t>
      </w:r>
      <w:r>
        <w:t xml:space="preserve">self-agreement, we repeated the acceptable-set judgment with an independent judge from a different model</w:t>
      </w:r>
      <w:r>
        <w:t xml:space="preserve"> </w:t>
      </w:r>
      <w:r>
        <w:t xml:space="preserve">family (gemini-2.5-flash). The two judges agree on the acceptable set for 75% of requests (mean Jaccard 0.86),</w:t>
      </w:r>
      <w:r>
        <w:t xml:space="preserve"> </w:t>
      </w:r>
      <w:r>
        <w:t xml:space="preserve">and the lenient scores barely move: the LLM's cross-city accuracy is 0.964 under the independent judge versus</w:t>
      </w:r>
      <w:r>
        <w:t xml:space="preserve"> </w:t>
      </w:r>
      <w:r>
        <w:t xml:space="preserve">0.981 under gpt-4o-mini, and DistilBERT's and TF-IDF's shift by under 0.01. Even the two-judge consensus, where</w:t>
      </w:r>
      <w:r>
        <w:t xml:space="preserve"> </w:t>
      </w:r>
      <w:r>
        <w:t xml:space="preserve">both judges reject the city label, finds 9.6% of city labels textually unsupported. The effect is therefore</w:t>
      </w:r>
      <w:r>
        <w:t xml:space="preserve"> </w:t>
      </w:r>
      <w:r>
        <w:t xml:space="preserve">not an artifact of same-family judging; human validation of a subset remains the natural next step (Section 9).</w:t>
      </w:r>
    </w:p>
    <w:p>
      <w:pPr>
        <w:pStyle w:val="BodyText"/>
      </w:pPr>
      <w:r>
        <w:t xml:space="preserve">To rule out any single-vendor artifact and to give a reproducible way to choose judges, we ran the same</w:t>
      </w:r>
      <w:r>
        <w:t xml:space="preserve"> </w:t>
      </w:r>
      <w:r>
        <w:t xml:space="preserve">acceptable-set task with five independent judges from five vendors (OpenAI gpt-4o-mini, Google gemini-2.5-flash,</w:t>
      </w:r>
      <w:r>
        <w:t xml:space="preserve"> </w:t>
      </w:r>
      <w:r>
        <w:t xml:space="preserve">Mistral mistral-small, DeepSeek deepseek-chat, Cohere command-r). All five pass the discriminant floors, a</w:t>
      </w:r>
      <w:r>
        <w:t xml:space="preserve"> </w:t>
      </w:r>
      <w:r>
        <w:t xml:space="preserve">random label accepted 9 to 14% of the time against recorded-label acceptance of 86 to 89% (discriminant margins</w:t>
      </w:r>
      <w:r>
        <w:t xml:space="preserve"> </w:t>
      </w:r>
      <w:r>
        <w:t xml:space="preserve">0.75 to 0.80), and their textually-unsupported-label rates fall in a narrow 10.7 to 14.2% band. A humans-free</w:t>
      </w:r>
      <w:r>
        <w:t xml:space="preserve"> </w:t>
      </w:r>
      <w:r>
        <w:t xml:space="preserve">selection criterion that ranks judges by discriminant margin and mean cross-vendor agreement separates a tight</w:t>
      </w:r>
      <w:r>
        <w:t xml:space="preserve"> </w:t>
      </w:r>
      <w:r>
        <w:t xml:space="preserve">core (OpenAI, Google, DeepSeek; pairwise exact-set agreement 0.75 to 0.79) from a more permissive outlier</w:t>
      </w:r>
      <w:r>
        <w:t xml:space="preserve"> </w:t>
      </w:r>
      <w:r>
        <w:t xml:space="preserve">(Cohere, mean acceptable set 1.99, agreement 0.42 to 0.49); a sixth candidate could not be run reliably at scale</w:t>
      </w:r>
      <w:r>
        <w:t xml:space="preserve"> </w:t>
      </w:r>
      <w:r>
        <w:t xml:space="preserve">on the available batch endpoint and is excluded on operational grounds. The majority-of-five consensus finds</w:t>
      </w:r>
      <w:r>
        <w:t xml:space="preserve"> </w:t>
      </w:r>
      <w:r>
        <w:t xml:space="preserve">11.9% of recorded labels textually unsupported. Label noise is therefore a property of the corpus, not of one</w:t>
      </w:r>
      <w:r>
        <w:t xml:space="preserve"> </w:t>
      </w:r>
      <w:r>
        <w:t xml:space="preserve">judge or one model family.</w:t>
      </w:r>
    </w:p>
    <w:bookmarkStart w:id="59" w:name="generality-and-scope"/>
    <w:p>
      <w:pPr>
        <w:pStyle w:val="Heading3"/>
      </w:pPr>
      <w:r>
        <w:t xml:space="preserve">Generality and scope</w:t>
      </w:r>
    </w:p>
    <w:p>
      <w:pPr>
        <w:pStyle w:val="FirstParagraph"/>
      </w:pPr>
      <w:r>
        <w:t xml:space="preserve">The protocol is not specific to 311. Run unchanged except for the class list and one rubric sentence on the</w:t>
      </w:r>
      <w:r>
        <w:t xml:space="preserve"> </w:t>
      </w:r>
      <w:r>
        <w:t xml:space="preserve">CFPB Consumer Complaint Database (500 consumer-finance narratives, each labeled by the recording company with</w:t>
      </w:r>
      <w:r>
        <w:t xml:space="preserve"> </w:t>
      </w:r>
      <w:r>
        <w:t xml:space="preserve">one of nine product categories), both judges again pass the discriminant floors (recorded-label acceptance</w:t>
      </w:r>
      <w:r>
        <w:t xml:space="preserve"> </w:t>
      </w:r>
      <w:r>
        <w:t xml:space="preserve">0.92, random-label 0.14, margin 0.77), agree at 0.89 exact-set (Jaccard 0.94), and recover the same structure:</w:t>
      </w:r>
      <w:r>
        <w:t xml:space="preserve"> </w:t>
      </w:r>
      <w:r>
        <w:t xml:space="preserve">7.8% of recorded product labels are not entailed by the text and 28% of complaints span more than one product.</w:t>
      </w:r>
      <w:r>
        <w:t xml:space="preserve"> </w:t>
      </w:r>
      <w:r>
        <w:t xml:space="preserve">The judge ensemble behaves the same way on a second administrative-label corpus from an unrelated domain, which</w:t>
      </w:r>
      <w:r>
        <w:t xml:space="preserve"> </w:t>
      </w:r>
      <w:r>
        <w:t xml:space="preserve">is the evidence that the method is not a 311 artifact.</w:t>
      </w:r>
    </w:p>
    <w:p>
      <w:pPr>
        <w:pStyle w:val="BodyText"/>
      </w:pPr>
      <w:r>
        <w:t xml:space="preserve">The construct is bounded. The method targets</w:t>
      </w:r>
      <w:r>
        <w:t xml:space="preserve"> </w:t>
      </w:r>
      <w:r>
        <w:rPr>
          <w:i/>
          <w:iCs/>
        </w:rPr>
        <w:t xml:space="preserve">administrative multi-membership</w:t>
      </w:r>
      <w:r>
        <w:t xml:space="preserve">, where a text</w:t>
      </w:r>
      <w:r>
        <w:t xml:space="preserve"> </w:t>
      </w:r>
      <w:r>
        <w:t xml:space="preserve">genuinely belongs to several categories under different institutional policies, not subjective annotator</w:t>
      </w:r>
      <w:r>
        <w:t xml:space="preserve"> </w:t>
      </w:r>
      <w:r>
        <w:t xml:space="preserve">disagreement. On ChaosNLI, whose examples carry 100 human labels each and are selected for genuine human</w:t>
      </w:r>
      <w:r>
        <w:t xml:space="preserve"> </w:t>
      </w:r>
      <w:r>
        <w:t xml:space="preserve">disagreement, the same judge's acceptable-set size does not track human label entropy (Spearman −0.14 on</w:t>
      </w:r>
      <w:r>
        <w:t xml:space="preserve"> </w:t>
      </w:r>
      <w:r>
        <w:t xml:space="preserve">200 examples): the judge commits to the modal reading rather than reproducing the human distribution.</w:t>
      </w:r>
      <w:r>
        <w:t xml:space="preserve"> </w:t>
      </w:r>
      <w:r>
        <w:t xml:space="preserve">Administrative multi-membership and subjective label variation are different phenomena; CASE measures the</w:t>
      </w:r>
      <w:r>
        <w:t xml:space="preserve"> </w:t>
      </w:r>
      <w:r>
        <w:t xml:space="preserve">former, and human-disagreement modeling is out of its scope.</w:t>
      </w:r>
    </w:p>
    <w:p>
      <w:pPr>
        <w:pStyle w:val="BodyText"/>
      </w:pPr>
      <w:r>
        <w:t xml:space="preserve">The separation between the LLM and the trained models lives precisely where a single answer exists. On the</w:t>
      </w:r>
      <w:r>
        <w:t xml:space="preserve"> </w:t>
      </w:r>
      <w:r>
        <w:t xml:space="preserve">requests the judge marks unambiguous (a single acceptable label, 2,329 of 3,502), the LLM's cross-city accuracy</w:t>
      </w:r>
      <w:r>
        <w:t xml:space="preserve"> </w:t>
      </w:r>
      <w:r>
        <w:t xml:space="preserve">is 0.850 against 0.776 for DistilBERT; on the multi-label requests the two converge (0.695 and 0.691), because</w:t>
      </w:r>
      <w:r>
        <w:t xml:space="preserve"> </w:t>
      </w:r>
      <w:r>
        <w:t xml:space="preserve">there is no single target to separate on. A router that auto-routes judge-unambiguous requests and escalates the</w:t>
      </w:r>
      <w:r>
        <w:t xml:space="preserve"> </w:t>
      </w:r>
      <w:r>
        <w:t xml:space="preserve">multi-label ones is a direct use of this structure.</w:t>
      </w:r>
    </w:p>
    <w:p>
      <w:pPr>
        <w:pStyle w:val="BodyText"/>
      </w:pPr>
      <w:r>
        <w:t xml:space="preserve">The two-judge consensus also functions as a corpus audit. Tracing the requests both judges reject back to</w:t>
      </w:r>
      <w:r>
        <w:t xml:space="preserve"> </w:t>
      </w:r>
      <w:r>
        <w:t xml:space="preserve">their native categories exposed five harmonization-rule errors, where a keyword fired the wrong first-match:</w:t>
      </w:r>
      <w:r>
        <w:t xml:space="preserve"> </w:t>
      </w:r>
      <w:r>
        <w:t xml:space="preserve">garbage-collection reports routed to drainage through a "leak" token, sewer backups routed to waste through a</w:t>
      </w:r>
      <w:r>
        <w:t xml:space="preserve"> </w:t>
      </w:r>
      <w:r>
        <w:t xml:space="preserve">"backup" token, and street grading routed to waste. Correcting the rules relabels 619 corpus rows (7 of the</w:t>
      </w:r>
      <w:r>
        <w:t xml:space="preserve"> </w:t>
      </w:r>
      <w:r>
        <w:t xml:space="preserve">3,502 test rows); every pooled macro-F1 moves by at most 0.001, so the results below stand on the corrected</w:t>
      </w:r>
      <w:r>
        <w:t xml:space="preserve"> </w:t>
      </w:r>
      <w:r>
        <w:t xml:space="preserve">corpus, which is the one released. The measured cross-jurisdiction gap therefore conflates three effects this</w:t>
      </w:r>
      <w:r>
        <w:t xml:space="preserve"> </w:t>
      </w:r>
      <w:r>
        <w:t xml:space="preserve">analysis makes visible without cleanly separating: genuine domain shift between cities, non-comparability of the</w:t>
      </w:r>
      <w:r>
        <w:t xml:space="preserve"> </w:t>
      </w:r>
      <w:r>
        <w:t xml:space="preserve">harmonized taxonomy at its boundaries, and text-label mismatch. The confusion structure identifies where the</w:t>
      </w:r>
      <w:r>
        <w:t xml:space="preserve"> </w:t>
      </w:r>
      <w:r>
        <w:t xml:space="preserve">boundary effects concentrate (Figure 7).</w:t>
      </w:r>
    </w:p>
    <w:p>
      <w:pPr>
        <w:pStyle w:val="CaptionedFigure"/>
      </w:pPr>
      <w:r>
        <w:drawing>
          <wp:inline>
            <wp:extent cx="5334000" cy="4593166"/>
            <wp:effectExtent b="0" l="0" r="0" t="0"/>
            <wp:docPr descr="Cross-city confusion matrix for DistilBERT" title="" id="57" name="Picture"/>
            <a:graphic>
              <a:graphicData uri="http://schemas.openxmlformats.org/drawingml/2006/picture">
                <pic:pic>
                  <pic:nvPicPr>
                    <pic:cNvPr descr="fig_confusion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931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b/>
          <w:bCs/>
        </w:rPr>
        <w:t xml:space="preserve">Figure 7.</w:t>
      </w:r>
      <w:r>
        <w:t xml:space="preserve"> </w:t>
      </w:r>
      <w:r>
        <w:t xml:space="preserve">Row-normalized cross-city confusion for DistilBERT. The heaviest</w:t>
      </w:r>
      <w:r>
        <w:t xml:space="preserve"> </w:t>
      </w:r>
      <w:r>
        <w:t xml:space="preserve">off-diagonal mass sits on defensible neighbors: Waste and Sanitation versus Trees and Vegetation (green and</w:t>
      </w:r>
      <w:r>
        <w:t xml:space="preserve"> </w:t>
      </w:r>
      <w:r>
        <w:t xml:space="preserve">woody waste), and Streets versus Water and Drainage (sinkholes and road-surface flooding).</w:t>
      </w:r>
    </w:p>
    <w:p>
      <w:pPr>
        <w:pStyle w:val="BodyText"/>
      </w:pPr>
      <w:r>
        <w:t xml:space="preserve">The dominant confusions are exactly the service-versus-content boundaries a text model cannot be expected</w:t>
      </w:r>
      <w:r>
        <w:t xml:space="preserve"> </w:t>
      </w:r>
      <w:r>
        <w:t xml:space="preserve">to honor from the text alone. A request labeled</w:t>
      </w:r>
      <w:r>
        <w:t xml:space="preserve"> </w:t>
      </w:r>
      <w:r>
        <w:rPr>
          <w:rStyle w:val="VerbatimChar"/>
        </w:rPr>
        <w:t xml:space="preserve">MISSED WOODY WASTE SERVICE</w:t>
      </w:r>
      <w:r>
        <w:t xml:space="preserve"> </w:t>
      </w:r>
      <w:r>
        <w:t xml:space="preserve">reads "tree limbs not</w:t>
      </w:r>
      <w:r>
        <w:t xml:space="preserve"> </w:t>
      </w:r>
      <w:r>
        <w:t xml:space="preserve">picked up"; the city label names a collection service, the text names the material, and both Waste and Trees</w:t>
      </w:r>
      <w:r>
        <w:t xml:space="preserve"> </w:t>
      </w:r>
      <w:r>
        <w:t xml:space="preserve">are defensible.</w:t>
      </w:r>
    </w:p>
    <w:p>
      <w:pPr>
        <w:pStyle w:val="BodyText"/>
      </w:pPr>
      <w:r>
        <w:t xml:space="preserve">The disagreement between annotators and the confusion between models are the same object. Correlating the</w:t>
      </w:r>
      <w:r>
        <w:t xml:space="preserve"> </w:t>
      </w:r>
      <w:r>
        <w:t xml:space="preserve">two-judge co-acceptability graph over the 14 classes (how often a pair of labels is jointly acceptable for one</w:t>
      </w:r>
      <w:r>
        <w:t xml:space="preserve"> </w:t>
      </w:r>
      <w:r>
        <w:t xml:space="preserve">request) with the cross-city confusion matrix gives Spearman ρ = 0.75 (p &lt; 10</w:t>
      </w:r>
      <w:r>
        <w:rPr>
          <w:vertAlign w:val="superscript"/>
        </w:rPr>
        <w:t xml:space="preserve">−17</w:t>
      </w:r>
      <w:r>
        <w:t xml:space="preserve">; ρ = 0.63</w:t>
      </w:r>
      <w:r>
        <w:t xml:space="preserve"> </w:t>
      </w:r>
      <w:r>
        <w:t xml:space="preserve">after partialling out the product of the two classes' frequencies, so this is not a frequency artifact): the</w:t>
      </w:r>
      <w:r>
        <w:t xml:space="preserve"> </w:t>
      </w:r>
      <w:r>
        <w:t xml:space="preserve">pairs a judge accepts interchangeably, Trees and Waste, Streets and Trees, Homelessness and Waste, are the pairs</w:t>
      </w:r>
      <w:r>
        <w:t xml:space="preserve"> </w:t>
      </w:r>
      <w:r>
        <w:t xml:space="preserve">the trained model mixes up. The cross-jurisdiction gap is concentrated where the taxonomy is ambiguous, not</w:t>
      </w:r>
      <w:r>
        <w:t xml:space="preserve"> </w:t>
      </w:r>
      <w:r>
        <w:t xml:space="preserve">spread evenly across the label space.</w:t>
      </w:r>
    </w:p>
    <w:p>
      <w:pPr>
        <w:pStyle w:val="BodyText"/>
      </w:pPr>
      <w:r>
        <w:t xml:space="preserve">This turns the boundary into a design lever. Agglomerating the classes by co-acceptability yields a</w:t>
      </w:r>
      <w:r>
        <w:t xml:space="preserve"> </w:t>
      </w:r>
      <w:r>
        <w:t xml:space="preserve">data-driven ontology whose merges are auditable and coincide with the confusion of Figure 7. Because the</w:t>
      </w:r>
      <w:r>
        <w:t xml:space="preserve"> </w:t>
      </w:r>
      <w:r>
        <w:t xml:space="preserve">ambiguity is concentrated on a few pairs, a targeted merge removes most of it: at ten classes the derived</w:t>
      </w:r>
      <w:r>
        <w:t xml:space="preserve"> </w:t>
      </w:r>
      <w:r>
        <w:t xml:space="preserve">taxonomy leaves 20% of requests multi-acceptable against 31% for the average equal-size random merge, and at</w:t>
      </w:r>
      <w:r>
        <w:t xml:space="preserve"> </w:t>
      </w:r>
      <w:r>
        <w:t xml:space="preserve">eight classes 12% against 26%, lower than every one of 200 random merges with matched cluster sizes at each</w:t>
      </w:r>
      <w:r>
        <w:t xml:space="preserve"> </w:t>
      </w:r>
      <w:r>
        <w:t xml:space="preserve">granularity. The output is a concrete ontology revision a 311 consortium could adopt, derived from measured</w:t>
      </w:r>
      <w:r>
        <w:t xml:space="preserve"> </w:t>
      </w:r>
      <w:r>
        <w:t xml:space="preserve">ambiguity rather than intuition.</w:t>
      </w:r>
    </w:p>
    <w:p>
      <w:pPr>
        <w:pStyle w:val="BodyText"/>
      </w:pPr>
      <w:r>
        <w:t xml:space="preserve">The disagreement between text and recorded label is policy-dependent, not random noise. Restricting to the</w:t>
      </w:r>
      <w:r>
        <w:t xml:space="preserve"> </w:t>
      </w:r>
      <w:r>
        <w:t xml:space="preserve">requests both judges accept as either Waste or Trees (yard-waste and tree-limb pickup, the corpus's largest</w:t>
      </w:r>
      <w:r>
        <w:t xml:space="preserve"> </w:t>
      </w:r>
      <w:r>
        <w:t xml:space="preserve">defensible boundary), each city is internally consistent yet the cities diverge: Baton Rouge records 95% of</w:t>
      </w:r>
      <w:r>
        <w:t xml:space="preserve"> </w:t>
      </w:r>
      <w:r>
        <w:t xml:space="preserve">them under the Waste service code and Richmond 90%, while Honolulu records 44% as Trees against 11% Waste. The</w:t>
      </w:r>
      <w:r>
        <w:t xml:space="preserve"> </w:t>
      </w:r>
      <w:r>
        <w:t xml:space="preserve">same semantic content receives a different administrative label by jurisdiction, so a cross-jurisdiction "error"</w:t>
      </w:r>
      <w:r>
        <w:t xml:space="preserve"> </w:t>
      </w:r>
      <w:r>
        <w:t xml:space="preserve">on these requests reflects a policy difference rather than a failure to read the text.</w:t>
      </w:r>
    </w:p>
    <w:bookmarkEnd w:id="59"/>
    <w:bookmarkStart w:id="60" w:name="X29fa5cec8b8539eb2dbbf8f3879c995e5ad3b7f"/>
    <w:p>
      <w:pPr>
        <w:pStyle w:val="Heading3"/>
      </w:pPr>
      <w:r>
        <w:t xml:space="preserve">Set-valued training separates the semantic and policy targets</w:t>
      </w:r>
    </w:p>
    <w:p>
      <w:pPr>
        <w:pStyle w:val="FirstParagraph"/>
      </w:pPr>
      <w:r>
        <w:t xml:space="preserve">The separation matters for training, not only evaluation. For each leave-one-city-out fold we act on the</w:t>
      </w:r>
      <w:r>
        <w:t xml:space="preserve"> </w:t>
      </w:r>
      <w:r>
        <w:t xml:space="preserve">training requests whose recorded label the judge rejects (12.3% to 13.3% per fold) and fine-tune DistilBERT, and</w:t>
      </w:r>
      <w:r>
        <w:t xml:space="preserve"> </w:t>
      </w:r>
      <w:r>
        <w:t xml:space="preserve">two strategies expose the distinction.</w:t>
      </w:r>
      <w:r>
        <w:t xml:space="preserve"> </w:t>
      </w:r>
      <w:r>
        <w:rPr>
          <w:i/>
          <w:iCs/>
        </w:rPr>
        <w:t xml:space="preserve">Hard-relabeling</w:t>
      </w:r>
      <w:r>
        <w:t xml:space="preserve"> </w:t>
      </w:r>
      <w:r>
        <w:t xml:space="preserve">each rejected row to the judge's text-content</w:t>
      </w:r>
      <w:r>
        <w:t xml:space="preserve"> </w:t>
      </w:r>
      <w:r>
        <w:t xml:space="preserve">label raises pooled cross-city macro-F1 from 0.559 to 0.615 (paired bootstrap +0.055, 95% CI [0.029, 0.080]) and</w:t>
      </w:r>
      <w:r>
        <w:t xml:space="preserve"> </w:t>
      </w:r>
      <w:r>
        <w:t xml:space="preserve">beats a random-relabel control (+0.041, [0.018, 0.063]); but the gain is not uniform, and it hurts exactly the</w:t>
      </w:r>
      <w:r>
        <w:t xml:space="preserve"> </w:t>
      </w:r>
      <w:r>
        <w:t xml:space="preserve">cities whose administrative policy is stable. Baton Rouge, which records nearly all yard-waste pickup under the</w:t>
      </w:r>
      <w:r>
        <w:t xml:space="preserve"> </w:t>
      </w:r>
      <w:r>
        <w:t xml:space="preserve">Waste service code, loses 0.06 strict macro-F1, because hard-relabeling teaches the text-content label (Trees)</w:t>
      </w:r>
      <w:r>
        <w:t xml:space="preserve"> </w:t>
      </w:r>
      <w:r>
        <w:t xml:space="preserve">that the judge prefers and Baton Rouge's policy does not use. Forcing a single label makes the model choose</w:t>
      </w:r>
      <w:r>
        <w:t xml:space="preserve"> </w:t>
      </w:r>
      <w:r>
        <w:t xml:space="preserve">between the semantic target and the policy target.</w:t>
      </w:r>
    </w:p>
    <w:p>
      <w:pPr>
        <w:pStyle w:val="BodyText"/>
      </w:pPr>
      <w:r>
        <w:rPr>
          <w:i/>
          <w:iCs/>
        </w:rPr>
        <w:t xml:space="preserve">Set-valued</w:t>
      </w:r>
      <w:r>
        <w:t xml:space="preserve"> </w:t>
      </w:r>
      <w:r>
        <w:t xml:space="preserve">training resolves the tension. Training on the multi-hot union of the recorded label and</w:t>
      </w:r>
      <w:r>
        <w:t xml:space="preserve"> </w:t>
      </w:r>
      <w:r>
        <w:t xml:space="preserve">the judge's acceptable set (soft targets, one binary-cross-entropy head) lets the model carry both the semantic</w:t>
      </w:r>
      <w:r>
        <w:t xml:space="preserve"> </w:t>
      </w:r>
      <w:r>
        <w:t xml:space="preserve">content and the policy code. Under the defensibility metric, which credits any text-supported label, this</w:t>
      </w:r>
      <w:r>
        <w:t xml:space="preserve"> </w:t>
      </w:r>
      <w:r>
        <w:t xml:space="preserve">improves cross-jurisdiction transfer on</w:t>
      </w:r>
      <w:r>
        <w:t xml:space="preserve"> </w:t>
      </w:r>
      <w:r>
        <w:rPr>
          <w:i/>
          <w:iCs/>
        </w:rPr>
        <w:t xml:space="preserve">every</w:t>
      </w:r>
      <w:r>
        <w:t xml:space="preserve"> </w:t>
      </w:r>
      <w:r>
        <w:t xml:space="preserve">one of the seven held-out cities, pooled accuracy rising</w:t>
      </w:r>
      <w:r>
        <w:t xml:space="preserve"> </w:t>
      </w:r>
      <w:r>
        <w:t xml:space="preserve">from 0.864 with the raw labels to 0.926, including the cities hard-relabeling hurt (Baton Rouge 0.838 to 0.868,</w:t>
      </w:r>
      <w:r>
        <w:t xml:space="preserve"> </w:t>
      </w:r>
      <w:r>
        <w:t xml:space="preserve">San Francisco 0.778 to 0.922). Under strict single-label scoring the set-valued model appears worse on the</w:t>
      </w:r>
      <w:r>
        <w:t xml:space="preserve"> </w:t>
      </w:r>
      <w:r>
        <w:t xml:space="preserve">stable-policy cities, because it sometimes returns the semantically-defensible label rather than that city's</w:t>
      </w:r>
      <w:r>
        <w:t xml:space="preserve"> </w:t>
      </w:r>
      <w:r>
        <w:t xml:space="preserve">specific code, which is the construct mismatch the strict metric should stop penalizing. Aligning both the</w:t>
      </w:r>
      <w:r>
        <w:t xml:space="preserve"> </w:t>
      </w:r>
      <w:r>
        <w:t xml:space="preserve">training target and the metric to the text-defensible set, rather than to a single administrative code, is what</w:t>
      </w:r>
      <w:r>
        <w:t xml:space="preserve"> </w:t>
      </w:r>
      <w:r>
        <w:t xml:space="preserve">makes the improvement uniform.</w:t>
      </w:r>
    </w:p>
    <w:bookmarkEnd w:id="60"/>
    <w:bookmarkEnd w:id="61"/>
    <w:bookmarkStart w:id="62" w:name="discussion"/>
    <w:p>
      <w:pPr>
        <w:pStyle w:val="Heading2"/>
      </w:pPr>
      <w:r>
        <w:t xml:space="preserve">8. Discussion</w:t>
      </w:r>
    </w:p>
    <w:p>
      <w:pPr>
        <w:pStyle w:val="FirstParagraph"/>
      </w:pPr>
      <w:r>
        <w:t xml:space="preserve">The central lesson is that a benchmark's gold label answers "what did this jurisdiction decide?", not "what</w:t>
      </w:r>
      <w:r>
        <w:t xml:space="preserve"> </w:t>
      </w:r>
      <w:r>
        <w:t xml:space="preserve">does this text mean?", and conflating the two mismeasures models. For civic-technology deployment this is a</w:t>
      </w:r>
      <w:r>
        <w:t xml:space="preserve"> </w:t>
      </w:r>
      <w:r>
        <w:t xml:space="preserve">caution and an option. Across the seven jurisdictions studied here, supervised transfer to an unseen city cost</w:t>
      </w:r>
      <w:r>
        <w:t xml:space="preserve"> </w:t>
      </w:r>
      <w:r>
        <w:t xml:space="preserve">roughly a third of the in-domain macro-F1, but much of that cost is policy and taxonomy mismatch rather than the</w:t>
      </w:r>
      <w:r>
        <w:t xml:space="preserve"> </w:t>
      </w:r>
      <w:r>
        <w:t xml:space="preserve">model failing to read the text; we do not claim a universal figure from seven cities. GPT-4o-mini achieved the highest pooled cross-jurisdiction score, though its advantage was</w:t>
      </w:r>
      <w:r>
        <w:t xml:space="preserve"> </w:t>
      </w:r>
      <w:r>
        <w:t xml:space="preserve">heterogeneous across cities, so a zero-shot LLM with the target city's taxonomy in the prompt is a reasonable</w:t>
      </w:r>
      <w:r>
        <w:t xml:space="preserve"> </w:t>
      </w:r>
      <w:r>
        <w:t xml:space="preserve">starting point when a city lacks its own labels rather than a guaranteed winner.</w:t>
      </w:r>
    </w:p>
    <w:p>
      <w:pPr>
        <w:pStyle w:val="BodyText"/>
      </w:pPr>
      <w:r>
        <w:t xml:space="preserve">For benchmark builders, the broader lesson is that harmonizing labels across sources imports noise and</w:t>
      </w:r>
      <w:r>
        <w:t xml:space="preserve"> </w:t>
      </w:r>
      <w:r>
        <w:t xml:space="preserve">non-comparability that a single accuracy number hides; a defensibility-adjusted metric grounded in an</w:t>
      </w:r>
      <w:r>
        <w:t xml:space="preserve"> </w:t>
      </w:r>
      <w:r>
        <w:t xml:space="preserve">explicit acceptable-set judgment is a reusable correction for any administrative-text benchmark assembled</w:t>
      </w:r>
      <w:r>
        <w:t xml:space="preserve"> </w:t>
      </w:r>
      <w:r>
        <w:t xml:space="preserve">this way.</w:t>
      </w:r>
    </w:p>
    <w:bookmarkEnd w:id="62"/>
    <w:bookmarkStart w:id="63" w:name="limitations-and-scope"/>
    <w:p>
      <w:pPr>
        <w:pStyle w:val="Heading2"/>
      </w:pPr>
      <w:r>
        <w:t xml:space="preserve">9. Limitations and scope</w:t>
      </w:r>
    </w:p>
    <w:p>
      <w:pPr>
        <w:pStyle w:val="FirstParagraph"/>
      </w:pPr>
      <w:r>
        <w:t xml:space="preserve">The corpus covers seven cities, weighted toward small and mid-size municipalities where free text is openly</w:t>
      </w:r>
      <w:r>
        <w:t xml:space="preserve"> </w:t>
      </w:r>
      <w:r>
        <w:t xml:space="preserve">available, and source platform is confounded with city identity, so register shift and jurisdiction shift are</w:t>
      </w:r>
      <w:r>
        <w:t xml:space="preserve"> </w:t>
      </w:r>
      <w:r>
        <w:t xml:space="preserve">not fully separable; the same-platform Richmond and Auburn pair is the natural cell for isolating this and is</w:t>
      </w:r>
      <w:r>
        <w:t xml:space="preserve"> </w:t>
      </w:r>
      <w:r>
        <w:t xml:space="preserve">available in the corpus. San Francisco contributes only two content classes after administrative</w:t>
      </w:r>
      <w:r>
        <w:t xml:space="preserve"> </w:t>
      </w:r>
      <w:r>
        <w:t xml:space="preserve">categories are removed, so its per-city numbers are degenerate and it inflates unweighted aggregates; we</w:t>
      </w:r>
      <w:r>
        <w:t xml:space="preserve"> </w:t>
      </w:r>
      <w:r>
        <w:t xml:space="preserve">report San-Francisco-excluded variants throughout, and Honolulu (500 test requests, thirteen classes) is also</w:t>
      </w:r>
      <w:r>
        <w:t xml:space="preserve"> </w:t>
      </w:r>
      <w:r>
        <w:t xml:space="preserve">small. The harmonization is one defensible mapping among several, and its boundaries drive the confusions of</w:t>
      </w:r>
      <w:r>
        <w:t xml:space="preserve"> </w:t>
      </w:r>
      <w:r>
        <w:t xml:space="preserve">Section 7; a sensitivity analysis under an alternative mapping is future work. Labels are the cities' own</w:t>
      </w:r>
      <w:r>
        <w:t xml:space="preserve"> </w:t>
      </w:r>
      <w:r>
        <w:t xml:space="preserve">routing categories and carry the 14.2% noise the judge measures. The defensibility judgment is</w:t>
      </w:r>
      <w:r>
        <w:t xml:space="preserve"> </w:t>
      </w:r>
      <w:r>
        <w:t xml:space="preserve">LLM-adjudicated; validating a subset against multiple human annotators, with an agreement statistic, is the</w:t>
      </w:r>
      <w:r>
        <w:t xml:space="preserve"> </w:t>
      </w:r>
      <w:r>
        <w:t xml:space="preserve">next step and would ground the acceptable-set metric. We mitigate same-family bias between the judge and the</w:t>
      </w:r>
      <w:r>
        <w:t xml:space="preserve"> </w:t>
      </w:r>
      <w:r>
        <w:t xml:space="preserve">zero-shot arm by confirming the defensibility effect with an independent-family judge (Section 7), which</w:t>
      </w:r>
      <w:r>
        <w:t xml:space="preserve"> </w:t>
      </w:r>
      <w:r>
        <w:t xml:space="preserve">leaves the lenient scores nearly unchanged; a multi-annotator human study remains the definitive check. The LLM arm is a single model at temperature zero, and</w:t>
      </w:r>
      <w:r>
        <w:t xml:space="preserve"> </w:t>
      </w:r>
      <w:r>
        <w:t xml:space="preserve">the public portals may fall within its training data, though it never sees the harmonized labels paired with</w:t>
      </w:r>
      <w:r>
        <w:t xml:space="preserve"> </w:t>
      </w:r>
      <w:r>
        <w:t xml:space="preserve">text.</w:t>
      </w:r>
    </w:p>
    <w:bookmarkEnd w:id="63"/>
    <w:bookmarkStart w:id="64" w:name="ethics-and-data"/>
    <w:p>
      <w:pPr>
        <w:pStyle w:val="Heading2"/>
      </w:pPr>
      <w:r>
        <w:t xml:space="preserve">10. Ethics and data</w:t>
      </w:r>
    </w:p>
    <w:p>
      <w:pPr>
        <w:pStyle w:val="FirstParagraph"/>
      </w:pPr>
      <w:r>
        <w:t xml:space="preserve">311 requests are public records, but their free text contains personal data: street addresses,</w:t>
      </w:r>
      <w:r>
        <w:t xml:space="preserve"> </w:t>
      </w:r>
      <w:r>
        <w:t xml:space="preserve">occasional phone numbers, and sometimes names, and the Homelessness category concerns a vulnerable</w:t>
      </w:r>
      <w:r>
        <w:t xml:space="preserve"> </w:t>
      </w:r>
      <w:r>
        <w:t xml:space="preserve">population. The released corpus removes phone numbers (2,861 spans) and email addresses (726); street</w:t>
      </w:r>
      <w:r>
        <w:t xml:space="preserve"> </w:t>
      </w:r>
      <w:r>
        <w:t xml:space="preserve">addresses are retained, because they are intrinsic to a service request and are already public in the source</w:t>
      </w:r>
      <w:r>
        <w:t xml:space="preserve"> </w:t>
      </w:r>
      <w:r>
        <w:t xml:space="preserve">portals. Names are not systematically removed, which we flag as a residual-PII risk to be addressed before</w:t>
      </w:r>
      <w:r>
        <w:t xml:space="preserve"> </w:t>
      </w:r>
      <w:r>
        <w:t xml:space="preserve">wide redistribution. The reporting cities' open-data licenses are listed per source, and we distribute</w:t>
      </w:r>
      <w:r>
        <w:t xml:space="preserve"> </w:t>
      </w:r>
      <w:r>
        <w:t xml:space="preserve">derived, harmonized text for research use rather than a re-identifiable master record. We discourage using this benchmark for individual-level surveillance or</w:t>
      </w:r>
      <w:r>
        <w:t xml:space="preserve"> </w:t>
      </w:r>
      <w:r>
        <w:t xml:space="preserve">enforcement targeting.</w:t>
      </w:r>
    </w:p>
    <w:bookmarkEnd w:id="64"/>
    <w:bookmarkStart w:id="66" w:name="reproducibility"/>
    <w:p>
      <w:pPr>
        <w:pStyle w:val="Heading2"/>
      </w:pPr>
      <w:r>
        <w:t xml:space="preserve">11. Reproducibility</w:t>
      </w:r>
    </w:p>
    <w:p>
      <w:pPr>
        <w:pStyle w:val="FirstParagraph"/>
      </w:pPr>
      <w:r>
        <w:t xml:space="preserve">The code, the harmonized data, the mapping file, the frozen split, the per-example predictions for every</w:t>
      </w:r>
      <w:r>
        <w:t xml:space="preserve"> </w:t>
      </w:r>
      <w:r>
        <w:t xml:space="preserve">arm, the acceptable-set judgments, and the scored results with confidence intervals are all released at</w:t>
      </w:r>
      <w:r>
        <w:t xml:space="preserve"> </w:t>
      </w:r>
      <w:hyperlink r:id="rId21">
        <w:r>
          <w:rPr>
            <w:rStyle w:val="Hyperlink"/>
          </w:rPr>
          <w:t xml:space="preserve">github.com/ApartsinProjects/311</w:t>
        </w:r>
      </w:hyperlink>
      <w:r>
        <w:t xml:space="preserve">. The pipeline runs as</w:t>
      </w:r>
      <w:r>
        <w:t xml:space="preserve"> </w:t>
      </w:r>
      <w:r>
        <w:rPr>
          <w:rStyle w:val="VerbatimChar"/>
        </w:rPr>
        <w:t xml:space="preserve">collect_311.py</w:t>
      </w:r>
      <w:r>
        <w:t xml:space="preserve">,</w:t>
      </w:r>
      <w:r>
        <w:t xml:space="preserve"> </w:t>
      </w:r>
      <w:r>
        <w:rPr>
          <w:rStyle w:val="VerbatimChar"/>
        </w:rPr>
        <w:t xml:space="preserve">harmonize.py</w:t>
      </w:r>
      <w:r>
        <w:t xml:space="preserve">, the informativeness filter</w:t>
      </w:r>
      <w:r>
        <w:t xml:space="preserve"> </w:t>
      </w:r>
      <w:r>
        <w:rPr>
          <w:rStyle w:val="VerbatimChar"/>
        </w:rPr>
        <w:t xml:space="preserve">filter_labels.py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make_split.py</w:t>
      </w:r>
      <w:r>
        <w:t xml:space="preserve">, the three evaluation arms, the acceptable-set judge</w:t>
      </w:r>
      <w:r>
        <w:t xml:space="preserve"> </w:t>
      </w:r>
      <w:r>
        <w:rPr>
          <w:rStyle w:val="VerbatimChar"/>
        </w:rPr>
        <w:t xml:space="preserve">defensibility_judge.py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score_aligned.py</w:t>
      </w:r>
      <w:r>
        <w:t xml:space="preserve">. Together these regenerate every number</w:t>
      </w:r>
      <w:r>
        <w:t xml:space="preserve"> </w:t>
      </w:r>
      <w:r>
        <w:t xml:space="preserve">in this paper, including the confidence intervals, the defensibility-adjusted scores, and the text-label</w:t>
      </w:r>
      <w:r>
        <w:t xml:space="preserve"> </w:t>
      </w:r>
      <w:r>
        <w:t xml:space="preserve">mismatch rates, from the released artifacts. A</w:t>
      </w:r>
      <w:r>
        <w:t xml:space="preserve"> </w:t>
      </w:r>
      <w:hyperlink r:id="rId65">
        <w:r>
          <w:rPr>
            <w:rStyle w:val="Hyperlink"/>
          </w:rPr>
          <w:t xml:space="preserve">datasheet for the dataset</w:t>
        </w:r>
      </w:hyperlink>
      <w:r>
        <w:t xml:space="preserve"> </w:t>
      </w:r>
      <w:r>
        <w:t xml:space="preserve">(Gebru</w:t>
      </w:r>
      <w:r>
        <w:t xml:space="preserve"> </w:t>
      </w:r>
      <w:r>
        <w:t xml:space="preserve">et al.) accompanies the release.</w:t>
      </w:r>
    </w:p>
    <w:bookmarkEnd w:id="66"/>
    <w:bookmarkStart w:id="92" w:name="conclusion"/>
    <w:p>
      <w:pPr>
        <w:pStyle w:val="Heading2"/>
      </w:pPr>
      <w:r>
        <w:t xml:space="preserve">12. Conclusion</w:t>
      </w:r>
    </w:p>
    <w:p>
      <w:pPr>
        <w:pStyle w:val="FirstParagraph"/>
      </w:pPr>
      <w:r>
        <w:t xml:space="preserve">An administrative label records what an institution decided, not what a text means, and the two are</w:t>
      </w:r>
      <w:r>
        <w:t xml:space="preserve"> </w:t>
      </w:r>
      <w:r>
        <w:t xml:space="preserve">different measurements. We formalized this distinction and introduced a defensibility protocol, an ensemble of</w:t>
      </w:r>
      <w:r>
        <w:t xml:space="preserve"> </w:t>
      </w:r>
      <w:r>
        <w:t xml:space="preserve">blind cross-vendor LLM judges certified non-vacuous by discriminant floors, that estimates the set of labels a</w:t>
      </w:r>
      <w:r>
        <w:t xml:space="preserve"> </w:t>
      </w:r>
      <w:r>
        <w:t xml:space="preserve">text semantically supports. Instantiated on MC311, the first public multi-city free-text 311 benchmark, it shows</w:t>
      </w:r>
      <w:r>
        <w:t xml:space="preserve"> </w:t>
      </w:r>
      <w:r>
        <w:t xml:space="preserve">that most of the apparent cross-jurisdiction gap is policy-dependent label disagreement rather than model</w:t>
      </w:r>
      <w:r>
        <w:t xml:space="preserve"> </w:t>
      </w:r>
      <w:r>
        <w:t xml:space="preserve">failure: 14.2% of recorded labels are not text-entailed, the disagreement varies by city policy (Waste versus</w:t>
      </w:r>
      <w:r>
        <w:t xml:space="preserve"> </w:t>
      </w:r>
      <w:r>
        <w:t xml:space="preserve">Trees for the same yard-waste content), a significant gap between the two strongest models vanishes under the</w:t>
      </w:r>
      <w:r>
        <w:t xml:space="preserve"> </w:t>
      </w:r>
      <w:r>
        <w:t xml:space="preserve">defensibility metric, and annotator ambiguity coincides with model confusion (Spearman 0.75). Separating the</w:t>
      </w:r>
      <w:r>
        <w:t xml:space="preserve"> </w:t>
      </w:r>
      <w:r>
        <w:t xml:space="preserve">targets also changes training: set-valued supervision on the judges' acceptable sets improves cross-jurisdiction</w:t>
      </w:r>
      <w:r>
        <w:t xml:space="preserve"> </w:t>
      </w:r>
      <w:r>
        <w:t xml:space="preserve">transfer on all seven cities under the defensibility metric, where hard-relabeling to the text-content label</w:t>
      </w:r>
      <w:r>
        <w:t xml:space="preserve"> </w:t>
      </w:r>
      <w:r>
        <w:t xml:space="preserve">hurts cities whose policy is stable. Treating administrative gold as semantic ground truth thus produces both</w:t>
      </w:r>
      <w:r>
        <w:t xml:space="preserve"> </w:t>
      </w:r>
      <w:r>
        <w:t xml:space="preserve">spurious domain-shift measurements and harmful label repair; the benchmark, the judge ensemble, and the</w:t>
      </w:r>
      <w:r>
        <w:t xml:space="preserve"> </w:t>
      </w:r>
      <w:r>
        <w:t xml:space="preserve">set-valued recipe are released so that other administrative-label corpora can separate the two.</w:t>
      </w:r>
    </w:p>
    <w:p>
      <w:r>
        <w:pict>
          <v:rect style="width:0;height:1.5pt" o:hralign="center" o:hrstd="t" o:hr="t"/>
        </w:pict>
      </w:r>
    </w:p>
    <w:bookmarkStart w:id="91" w:name="references"/>
    <w:p>
      <w:pPr>
        <w:pStyle w:val="Heading3"/>
      </w:pPr>
      <w:r>
        <w:t xml:space="preserve">References</w:t>
      </w:r>
    </w:p>
    <w:p>
      <w:pPr>
        <w:pStyle w:val="Compact"/>
        <w:numPr>
          <w:ilvl w:val="0"/>
          <w:numId w:val="1002"/>
        </w:numPr>
      </w:pPr>
      <w:bookmarkStart w:id="67" w:name="r1"/>
      <w:r>
        <w:t xml:space="preserve">Hashemi, M. (2022). Automatic Type Detection of 311 Service Requests Based on Customer Provided Descriptions.</w:t>
      </w:r>
      <w:r>
        <w:t xml:space="preserve"> </w:t>
      </w:r>
      <w:r>
        <w:rPr>
          <w:i/>
          <w:iCs/>
        </w:rPr>
        <w:t xml:space="preserve">Applied Artificial Intelligence</w:t>
      </w:r>
      <w:r>
        <w:t xml:space="preserve">, 36(1). doi:10.1080/08839514.2022.2073717.</w:t>
      </w:r>
      <w:bookmarkEnd w:id="67"/>
    </w:p>
    <w:p>
      <w:pPr>
        <w:pStyle w:val="Compact"/>
        <w:numPr>
          <w:ilvl w:val="0"/>
          <w:numId w:val="1002"/>
        </w:numPr>
      </w:pPr>
      <w:bookmarkStart w:id="68" w:name="r2"/>
      <w:r>
        <w:t xml:space="preserve">Wang, L., Qian, C., Kats, P., Kontokosta, C., &amp; Sobolevsky, S. (2017). Structure of 311 Service Requests as a Signature of Urban Location.</w:t>
      </w:r>
      <w:r>
        <w:t xml:space="preserve"> </w:t>
      </w:r>
      <w:r>
        <w:rPr>
          <w:i/>
          <w:iCs/>
        </w:rPr>
        <w:t xml:space="preserve">PLOS ONE</w:t>
      </w:r>
      <w:r>
        <w:t xml:space="preserve">, 12(10):e0186314.</w:t>
      </w:r>
      <w:bookmarkEnd w:id="68"/>
    </w:p>
    <w:p>
      <w:pPr>
        <w:pStyle w:val="Compact"/>
        <w:numPr>
          <w:ilvl w:val="0"/>
          <w:numId w:val="1002"/>
        </w:numPr>
      </w:pPr>
      <w:bookmarkStart w:id="69" w:name="r3"/>
      <w:r>
        <w:t xml:space="preserve">Sukel, M., Rudinac, S., &amp; Worring, M. (2019). Multimodal Classification of Urban Micro-Events. arXiv:1904.13349.</w:t>
      </w:r>
      <w:bookmarkEnd w:id="69"/>
    </w:p>
    <w:p>
      <w:pPr>
        <w:pStyle w:val="Compact"/>
        <w:numPr>
          <w:ilvl w:val="0"/>
          <w:numId w:val="1002"/>
        </w:numPr>
      </w:pPr>
      <w:bookmarkStart w:id="70" w:name="r4"/>
      <w:r>
        <w:t xml:space="preserve">Masdeval, C., &amp; Veloso, A. (2015). Mining citizen emotions to estimate the urgency of urban issues.</w:t>
      </w:r>
      <w:r>
        <w:t xml:space="preserve"> </w:t>
      </w:r>
      <w:r>
        <w:rPr>
          <w:i/>
          <w:iCs/>
        </w:rPr>
        <w:t xml:space="preserve">Information Systems</w:t>
      </w:r>
      <w:r>
        <w:t xml:space="preserve">, 54, 147-155.</w:t>
      </w:r>
      <w:bookmarkEnd w:id="70"/>
    </w:p>
    <w:p>
      <w:pPr>
        <w:pStyle w:val="Compact"/>
        <w:numPr>
          <w:ilvl w:val="0"/>
          <w:numId w:val="1002"/>
        </w:numPr>
      </w:pPr>
      <w:bookmarkStart w:id="71" w:name="r5"/>
      <w:r>
        <w:t xml:space="preserve">Wang, J., Lan, C., Liu, C., et al. (2023). Generalizing to Unseen Domains: A Survey on Domain Generalization.</w:t>
      </w:r>
      <w:r>
        <w:t xml:space="preserve"> </w:t>
      </w:r>
      <w:r>
        <w:rPr>
          <w:i/>
          <w:iCs/>
        </w:rPr>
        <w:t xml:space="preserve">IEEE TKDE</w:t>
      </w:r>
      <w:r>
        <w:t xml:space="preserve"> </w:t>
      </w:r>
      <w:r>
        <w:t xml:space="preserve">(arXiv:2103.03097).</w:t>
      </w:r>
      <w:bookmarkEnd w:id="71"/>
    </w:p>
    <w:p>
      <w:pPr>
        <w:pStyle w:val="Compact"/>
        <w:numPr>
          <w:ilvl w:val="0"/>
          <w:numId w:val="1002"/>
        </w:numPr>
      </w:pPr>
      <w:bookmarkStart w:id="72" w:name="r6"/>
      <w:r>
        <w:t xml:space="preserve">Yuan, X., et al. (2023). Out-of-Distribution Generalization in Text Classification: Past, Present, and Future. arXiv:2305.14104.</w:t>
      </w:r>
      <w:bookmarkEnd w:id="72"/>
    </w:p>
    <w:p>
      <w:pPr>
        <w:pStyle w:val="Compact"/>
        <w:numPr>
          <w:ilvl w:val="0"/>
          <w:numId w:val="1002"/>
        </w:numPr>
      </w:pPr>
      <w:bookmarkStart w:id="73" w:name="r7"/>
      <w:r>
        <w:t xml:space="preserve">Northcutt, C. G., Athalye, A., &amp; Mueller, J. (2021). Pervasive Label Errors in Test Sets Destabilize Machine Learning Benchmarks.</w:t>
      </w:r>
      <w:r>
        <w:t xml:space="preserve"> </w:t>
      </w:r>
      <w:r>
        <w:rPr>
          <w:i/>
          <w:iCs/>
        </w:rPr>
        <w:t xml:space="preserve">NeurIPS Datasets &amp; Benchmarks</w:t>
      </w:r>
      <w:r>
        <w:t xml:space="preserve"> </w:t>
      </w:r>
      <w:r>
        <w:t xml:space="preserve">(arXiv:2103.14749).</w:t>
      </w:r>
      <w:bookmarkEnd w:id="73"/>
    </w:p>
    <w:p>
      <w:pPr>
        <w:pStyle w:val="Compact"/>
        <w:numPr>
          <w:ilvl w:val="0"/>
          <w:numId w:val="1002"/>
        </w:numPr>
      </w:pPr>
      <w:bookmarkStart w:id="74" w:name="r8"/>
      <w:r>
        <w:t xml:space="preserve">Gururangan, S., Swayamdipta, S., Levy, O., Schwartz, R., Bowman, S., &amp; Smith, N. A. (2018). Annotation Artifacts in Natural Language Inference Data.</w:t>
      </w:r>
      <w:r>
        <w:t xml:space="preserve"> </w:t>
      </w:r>
      <w:r>
        <w:rPr>
          <w:i/>
          <w:iCs/>
        </w:rPr>
        <w:t xml:space="preserve">NAACL</w:t>
      </w:r>
      <w:r>
        <w:t xml:space="preserve"> </w:t>
      </w:r>
      <w:r>
        <w:t xml:space="preserve">(arXiv:1803.02324).</w:t>
      </w:r>
      <w:bookmarkEnd w:id="74"/>
    </w:p>
    <w:p>
      <w:pPr>
        <w:pStyle w:val="Compact"/>
        <w:numPr>
          <w:ilvl w:val="0"/>
          <w:numId w:val="1002"/>
        </w:numPr>
      </w:pPr>
      <w:bookmarkStart w:id="75" w:name="r9"/>
      <w:r>
        <w:t xml:space="preserve">Raji, I. D., Bender, E. M., Paullada, A., Denton, E., &amp; Hanna, A. (2021). AI and the Everything in the Whole Wide World Benchmark.</w:t>
      </w:r>
      <w:r>
        <w:t xml:space="preserve"> </w:t>
      </w:r>
      <w:r>
        <w:rPr>
          <w:i/>
          <w:iCs/>
        </w:rPr>
        <w:t xml:space="preserve">NeurIPS Datasets &amp; Benchmarks</w:t>
      </w:r>
      <w:r>
        <w:t xml:space="preserve"> </w:t>
      </w:r>
      <w:r>
        <w:t xml:space="preserve">(arXiv:2111.15366).</w:t>
      </w:r>
      <w:bookmarkEnd w:id="75"/>
    </w:p>
    <w:p>
      <w:pPr>
        <w:pStyle w:val="Compact"/>
        <w:numPr>
          <w:ilvl w:val="0"/>
          <w:numId w:val="1002"/>
        </w:numPr>
      </w:pPr>
      <w:bookmarkStart w:id="76" w:name="r10"/>
      <w:r>
        <w:t xml:space="preserve">Schierholz, M., &amp; Schonlau, M. (2023). Automated occupation coding with hierarchical features.</w:t>
      </w:r>
      <w:r>
        <w:t xml:space="preserve"> </w:t>
      </w:r>
      <w:r>
        <w:rPr>
          <w:i/>
          <w:iCs/>
        </w:rPr>
        <w:t xml:space="preserve">Discover Artificial Intelligence</w:t>
      </w:r>
      <w:r>
        <w:t xml:space="preserve">.</w:t>
      </w:r>
      <w:bookmarkEnd w:id="76"/>
    </w:p>
    <w:p>
      <w:pPr>
        <w:pStyle w:val="Compact"/>
        <w:numPr>
          <w:ilvl w:val="0"/>
          <w:numId w:val="1002"/>
        </w:numPr>
      </w:pPr>
      <w:bookmarkStart w:id="77" w:name="r11"/>
      <w:r>
        <w:t xml:space="preserve">Yin, W., Hay, J., &amp; Roth, D. (2019). Benchmarking Zero-shot Text Classification: Datasets, Evaluation and Entailment Approach.</w:t>
      </w:r>
      <w:r>
        <w:t xml:space="preserve"> </w:t>
      </w:r>
      <w:r>
        <w:rPr>
          <w:i/>
          <w:iCs/>
        </w:rPr>
        <w:t xml:space="preserve">EMNLP-IJCNLP</w:t>
      </w:r>
      <w:r>
        <w:t xml:space="preserve"> </w:t>
      </w:r>
      <w:r>
        <w:t xml:space="preserve">(arXiv:1909.00161).</w:t>
      </w:r>
      <w:bookmarkEnd w:id="77"/>
    </w:p>
    <w:p>
      <w:pPr>
        <w:pStyle w:val="Compact"/>
        <w:numPr>
          <w:ilvl w:val="0"/>
          <w:numId w:val="1002"/>
        </w:numPr>
      </w:pPr>
      <w:bookmarkStart w:id="78" w:name="r12"/>
      <w:r>
        <w:t xml:space="preserve">Bucher, M. J. J., &amp; Martini, M. (2024). Fine-Tuned "Small" LLMs (Still) Significantly Outperform Zero-Shot Generative AI Models in Text Classification. arXiv:2406.08660.</w:t>
      </w:r>
      <w:bookmarkEnd w:id="78"/>
    </w:p>
    <w:p>
      <w:pPr>
        <w:pStyle w:val="Compact"/>
        <w:numPr>
          <w:ilvl w:val="0"/>
          <w:numId w:val="1002"/>
        </w:numPr>
      </w:pPr>
      <w:bookmarkStart w:id="79" w:name="r13"/>
      <w:r>
        <w:t xml:space="preserve">Kontokosta, C. E., &amp; Hong, B. (2017). Equity in 311 Reporting: Socio-Spatial Differentials in the Propensity to Complain. arXiv:1710.02452.</w:t>
      </w:r>
      <w:bookmarkEnd w:id="79"/>
    </w:p>
    <w:p>
      <w:pPr>
        <w:pStyle w:val="Compact"/>
        <w:numPr>
          <w:ilvl w:val="0"/>
          <w:numId w:val="1002"/>
        </w:numPr>
      </w:pPr>
      <w:bookmarkStart w:id="80" w:name="r14"/>
      <w:r>
        <w:t xml:space="preserve">Ramponi, A., &amp; Plank, B. (2020). Neural Unsupervised Domain Adaptation in NLP: A Survey.</w:t>
      </w:r>
      <w:r>
        <w:t xml:space="preserve"> </w:t>
      </w:r>
      <w:r>
        <w:rPr>
          <w:i/>
          <w:iCs/>
        </w:rPr>
        <w:t xml:space="preserve">COLING</w:t>
      </w:r>
      <w:r>
        <w:t xml:space="preserve">. aclanthology.org/2020.coling-main.603.</w:t>
      </w:r>
      <w:bookmarkEnd w:id="80"/>
    </w:p>
    <w:p>
      <w:pPr>
        <w:pStyle w:val="Compact"/>
        <w:numPr>
          <w:ilvl w:val="0"/>
          <w:numId w:val="1002"/>
        </w:numPr>
      </w:pPr>
      <w:bookmarkStart w:id="81" w:name="r15"/>
      <w:r>
        <w:t xml:space="preserve">Plank, B. (2022). The "Problem" of Human Label Variation: On Ground Truth in Data, Modeling and Evaluation.</w:t>
      </w:r>
      <w:r>
        <w:t xml:space="preserve"> </w:t>
      </w:r>
      <w:r>
        <w:rPr>
          <w:i/>
          <w:iCs/>
        </w:rPr>
        <w:t xml:space="preserve">EMNLP</w:t>
      </w:r>
      <w:r>
        <w:t xml:space="preserve">. arXiv:2211.02570.</w:t>
      </w:r>
      <w:bookmarkEnd w:id="81"/>
    </w:p>
    <w:p>
      <w:pPr>
        <w:pStyle w:val="Compact"/>
        <w:numPr>
          <w:ilvl w:val="0"/>
          <w:numId w:val="1002"/>
        </w:numPr>
      </w:pPr>
      <w:bookmarkStart w:id="82" w:name="r16"/>
      <w:r>
        <w:t xml:space="preserve">Uma, A., Fornaciari, T., Hovy, D., Paun, S., Plank, B., &amp; Poesio, M. (2021). Learning from Disagreement: A Survey.</w:t>
      </w:r>
      <w:r>
        <w:t xml:space="preserve"> </w:t>
      </w:r>
      <w:r>
        <w:rPr>
          <w:i/>
          <w:iCs/>
        </w:rPr>
        <w:t xml:space="preserve">JAIR</w:t>
      </w:r>
      <w:r>
        <w:t xml:space="preserve">, 72, 1385-1470.</w:t>
      </w:r>
      <w:bookmarkEnd w:id="82"/>
    </w:p>
    <w:p>
      <w:pPr>
        <w:pStyle w:val="Compact"/>
        <w:numPr>
          <w:ilvl w:val="0"/>
          <w:numId w:val="1002"/>
        </w:numPr>
      </w:pPr>
      <w:bookmarkStart w:id="83" w:name="r17"/>
      <w:r>
        <w:t xml:space="preserve">Leonardelli, E., et al. (2023). SemEval-2023 Task 11: Learning with Disagreements (LeWiDi).</w:t>
      </w:r>
      <w:r>
        <w:t xml:space="preserve"> </w:t>
      </w:r>
      <w:r>
        <w:rPr>
          <w:i/>
          <w:iCs/>
        </w:rPr>
        <w:t xml:space="preserve">SemEval</w:t>
      </w:r>
      <w:r>
        <w:t xml:space="preserve">. arXiv:2304.14803.</w:t>
      </w:r>
      <w:bookmarkEnd w:id="83"/>
    </w:p>
    <w:p>
      <w:pPr>
        <w:pStyle w:val="Compact"/>
        <w:numPr>
          <w:ilvl w:val="0"/>
          <w:numId w:val="1002"/>
        </w:numPr>
      </w:pPr>
      <w:bookmarkStart w:id="84" w:name="r18"/>
      <w:r>
        <w:t xml:space="preserve">Nalchigar, S., &amp; Fox, M. S. (2017). Achieving Interoperability of Smart City Data: An Analysis of 311 Data.</w:t>
      </w:r>
      <w:r>
        <w:t xml:space="preserve"> </w:t>
      </w:r>
      <w:r>
        <w:rPr>
          <w:i/>
          <w:iCs/>
        </w:rPr>
        <w:t xml:space="preserve">Journal of Smart Cities</w:t>
      </w:r>
      <w:r>
        <w:t xml:space="preserve">, 3(1).</w:t>
      </w:r>
      <w:bookmarkEnd w:id="84"/>
    </w:p>
    <w:p>
      <w:pPr>
        <w:pStyle w:val="Compact"/>
        <w:numPr>
          <w:ilvl w:val="0"/>
          <w:numId w:val="1002"/>
        </w:numPr>
      </w:pPr>
      <w:bookmarkStart w:id="85" w:name="r19"/>
      <w:r>
        <w:t xml:space="preserve">Mullenbach, J., Wiegreffe, S., Duke, J., Sun, J., &amp; Eisenstein, J. (2018). Explainable Prediction of Medical Codes from Clinical Text.</w:t>
      </w:r>
      <w:r>
        <w:t xml:space="preserve"> </w:t>
      </w:r>
      <w:r>
        <w:rPr>
          <w:i/>
          <w:iCs/>
        </w:rPr>
        <w:t xml:space="preserve">NAACL-HLT</w:t>
      </w:r>
      <w:r>
        <w:t xml:space="preserve">. arXiv:1802.05695.</w:t>
      </w:r>
      <w:bookmarkEnd w:id="85"/>
    </w:p>
    <w:p>
      <w:pPr>
        <w:pStyle w:val="Compact"/>
        <w:numPr>
          <w:ilvl w:val="0"/>
          <w:numId w:val="1002"/>
        </w:numPr>
      </w:pPr>
      <w:bookmarkStart w:id="86" w:name="r20"/>
      <w:r>
        <w:t xml:space="preserve">Gweon, H., Schonlau, M., Kaczmirek, L., Blohm, M., &amp; Steiner, S. (2017). Three Methods for Occupation Coding Based on Statistical Learning.</w:t>
      </w:r>
      <w:r>
        <w:t xml:space="preserve"> </w:t>
      </w:r>
      <w:r>
        <w:rPr>
          <w:i/>
          <w:iCs/>
        </w:rPr>
        <w:t xml:space="preserve">Journal of Official Statistics</w:t>
      </w:r>
      <w:r>
        <w:t xml:space="preserve">, 33(1), 101-122.</w:t>
      </w:r>
      <w:bookmarkEnd w:id="86"/>
    </w:p>
    <w:p>
      <w:pPr>
        <w:pStyle w:val="Compact"/>
        <w:numPr>
          <w:ilvl w:val="0"/>
          <w:numId w:val="1002"/>
        </w:numPr>
      </w:pPr>
      <w:bookmarkStart w:id="87" w:name="r21"/>
      <w:r>
        <w:t xml:space="preserve">Gulrajani, I., &amp; Lopez-Paz, D. (2021). In Search of Lost Domain Generalization.</w:t>
      </w:r>
      <w:r>
        <w:t xml:space="preserve"> </w:t>
      </w:r>
      <w:r>
        <w:rPr>
          <w:i/>
          <w:iCs/>
        </w:rPr>
        <w:t xml:space="preserve">ICLR</w:t>
      </w:r>
      <w:r>
        <w:t xml:space="preserve">. arXiv:2007.01434.</w:t>
      </w:r>
      <w:bookmarkEnd w:id="87"/>
    </w:p>
    <w:p>
      <w:pPr>
        <w:pStyle w:val="Compact"/>
        <w:numPr>
          <w:ilvl w:val="0"/>
          <w:numId w:val="1002"/>
        </w:numPr>
      </w:pPr>
      <w:bookmarkStart w:id="88" w:name="r22"/>
      <w:r>
        <w:t xml:space="preserve">Mueller, A., Krone, J., Romeo, S., Mansour, S., Mansimov, E., Zhang, Y., &amp; Roth, D. (2022). Label Semantic Aware Pre-training for Few-shot Text Classification.</w:t>
      </w:r>
      <w:r>
        <w:t xml:space="preserve"> </w:t>
      </w:r>
      <w:r>
        <w:rPr>
          <w:i/>
          <w:iCs/>
        </w:rPr>
        <w:t xml:space="preserve">ACL</w:t>
      </w:r>
      <w:r>
        <w:t xml:space="preserve">. arXiv:2204.07128.</w:t>
      </w:r>
      <w:bookmarkEnd w:id="88"/>
    </w:p>
    <w:p>
      <w:pPr>
        <w:pStyle w:val="Compact"/>
        <w:numPr>
          <w:ilvl w:val="0"/>
          <w:numId w:val="1002"/>
        </w:numPr>
      </w:pPr>
      <w:bookmarkStart w:id="89" w:name="r23"/>
      <w:r>
        <w:t xml:space="preserve">Aroyo, L., &amp; Welty, C. (2015). Truth Is a Lie: Crowd Truth and the Seven Myths of Human Annotation.</w:t>
      </w:r>
      <w:r>
        <w:t xml:space="preserve"> </w:t>
      </w:r>
      <w:r>
        <w:rPr>
          <w:i/>
          <w:iCs/>
        </w:rPr>
        <w:t xml:space="preserve">AI Magazine</w:t>
      </w:r>
      <w:r>
        <w:t xml:space="preserve">, 36(1), 15-24.</w:t>
      </w:r>
      <w:bookmarkEnd w:id="89"/>
    </w:p>
    <w:p>
      <w:pPr>
        <w:pStyle w:val="Compact"/>
        <w:numPr>
          <w:ilvl w:val="0"/>
          <w:numId w:val="1002"/>
        </w:numPr>
      </w:pPr>
      <w:bookmarkStart w:id="90" w:name="r24"/>
      <w:r>
        <w:t xml:space="preserve">White, A., &amp; Trump, K. S. (2018). The Promises and Pitfalls of 311 Data.</w:t>
      </w:r>
      <w:r>
        <w:t xml:space="preserve"> </w:t>
      </w:r>
      <w:r>
        <w:rPr>
          <w:i/>
          <w:iCs/>
        </w:rPr>
        <w:t xml:space="preserve">Urban Affairs Review</w:t>
      </w:r>
      <w:r>
        <w:t xml:space="preserve">, 54(4), 794-823.</w:t>
      </w:r>
      <w:bookmarkEnd w:id="90"/>
    </w:p>
    <w:p>
      <w:pPr>
        <w:pStyle w:val="FirstParagraph"/>
      </w:pPr>
      <w:r>
        <w:t xml:space="preserve">Working paper. Every reported number is regenerated from the released predictions and</w:t>
      </w:r>
      <w:r>
        <w:t xml:space="preserve"> </w:t>
      </w:r>
      <w:r>
        <w:t xml:space="preserve">judgments by</w:t>
      </w:r>
      <w:r>
        <w:t xml:space="preserve"> </w:t>
      </w:r>
      <w:r>
        <w:rPr>
          <w:rStyle w:val="VerbatimChar"/>
        </w:rPr>
        <w:t xml:space="preserve">score_aligned.py</w:t>
      </w:r>
      <w:r>
        <w:t xml:space="preserve"> </w:t>
      </w:r>
      <w:r>
        <w:t xml:space="preserve">and the collection scripts. All references validated with</w:t>
      </w:r>
      <w:r>
        <w:t xml:space="preserve"> </w:t>
      </w:r>
      <w:r>
        <w:t xml:space="preserve">Crossref, OpenAlex, and arXiv.</w:t>
      </w:r>
    </w:p>
    <w:bookmarkEnd w:id="91"/>
    <w:bookmarkEnd w:id="92"/>
    <w:bookmarkEnd w:id="9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rFonts w:ascii="Georgia" w:hAnsi="Georgia"/>
      <w:sz w:val="21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56" Type="http://schemas.openxmlformats.org/officeDocument/2006/relationships/image" Target="media/rId56.png"/><Relationship Id="rId30" Type="http://schemas.openxmlformats.org/officeDocument/2006/relationships/image" Target="media/rId30.png"/><Relationship Id="rId53" Type="http://schemas.openxmlformats.org/officeDocument/2006/relationships/image" Target="media/rId53.png"/><Relationship Id="rId45" Type="http://schemas.openxmlformats.org/officeDocument/2006/relationships/image" Target="media/rId45.png"/><Relationship Id="rId37" Type="http://schemas.openxmlformats.org/officeDocument/2006/relationships/image" Target="media/rId37.png"/><Relationship Id="rId42" Type="http://schemas.openxmlformats.org/officeDocument/2006/relationships/image" Target="media/rId42.png"/><Relationship Id="rId48" Type="http://schemas.openxmlformats.org/officeDocument/2006/relationships/image" Target="media/rId48.png"/><Relationship Id="rId65" Type="http://schemas.openxmlformats.org/officeDocument/2006/relationships/hyperlink" Target="datasheet.html" TargetMode="External"/><Relationship Id="rId21" Type="http://schemas.openxmlformats.org/officeDocument/2006/relationships/hyperlink" Target="https://github.com/ApartsinProjects/311" TargetMode="External"/><Relationship Id="rId20" Type="http://schemas.openxmlformats.org/officeDocument/2006/relationships/hyperlink" Target="paper.docx" TargetMode="External"/></Relationships>
</file>

<file path=word/_rels/footnotes.xml.rels><?xml version='1.0' encoding='UTF-8' standalone='yes'?>
<Relationships xmlns="http://schemas.openxmlformats.org/package/2006/relationships"><Relationship Id="rId65" Type="http://schemas.openxmlformats.org/officeDocument/2006/relationships/hyperlink" Target="datasheet.html" TargetMode="External"/><Relationship Id="rId21" Type="http://schemas.openxmlformats.org/officeDocument/2006/relationships/hyperlink" Target="https://github.com/ApartsinProjects/311" TargetMode="External"/><Relationship Id="rId20" Type="http://schemas.openxmlformats.org/officeDocument/2006/relationships/hyperlink" Target="paper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Gold Is Not Semantic Ground Truth</dc:title>
  <dc:creator/>
  <dc:language>en</dc:language>
  <cp:keywords/>
  <dcterms:created xsi:type="dcterms:W3CDTF">2026-09-01T09:37:28Z</dcterms:created>
  <dcterms:modified xsi:type="dcterms:W3CDTF">2026-09-01T09:37:28Z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</vt:lpwstr>
  </property>
</Properties>
</file>